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E" w:rsidRDefault="002A21DE" w:rsidP="002A21DE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/>
          <w:b/>
          <w:bCs/>
          <w:sz w:val="24"/>
          <w:szCs w:val="24"/>
          <w:u w:val="single"/>
          <w:rtl/>
        </w:rPr>
      </w:pPr>
      <w:r w:rsidRPr="0040039B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סילבוס שנה א</w:t>
      </w:r>
    </w:p>
    <w:tbl>
      <w:tblPr>
        <w:tblpPr w:leftFromText="180" w:rightFromText="180" w:vertAnchor="text" w:horzAnchor="margin" w:tblpXSpec="center" w:tblpY="343"/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386"/>
        <w:gridCol w:w="1276"/>
        <w:gridCol w:w="850"/>
        <w:gridCol w:w="1702"/>
      </w:tblGrid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מספר מפגש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תוכן המפגש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</w:tr>
      <w:tr w:rsidR="002A21DE" w:rsidRPr="006A0E95" w:rsidTr="009C49C0">
        <w:trPr>
          <w:trHeight w:val="9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Default="002A21DE" w:rsidP="00882039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רציונל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הקורס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מטרות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ותהליך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הלמידה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תיאום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ציפיות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6A0E95" w:rsidRDefault="002A21DE" w:rsidP="00882039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סדנת פתיחה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מורה כיזם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חינוכי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–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מיצוי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כוחות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ועוצמות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אישיות. 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21DE" w:rsidRPr="006A0E95" w:rsidRDefault="002A21DE" w:rsidP="0088203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יוזמות חינוכיות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rtl/>
              </w:rPr>
              <w:t>–  מנהיגות, מקצועיות, מעורבות</w:t>
            </w:r>
          </w:p>
          <w:p w:rsidR="002A21DE" w:rsidRPr="006A0E95" w:rsidRDefault="002A21DE" w:rsidP="00882039">
            <w:pPr>
              <w:spacing w:after="0" w:line="240" w:lineRule="auto"/>
              <w:ind w:left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תפיסת התפקיד כמחולל יוזמה</w:t>
            </w:r>
          </w:p>
          <w:p w:rsidR="002A21DE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 xml:space="preserve">יצירתיות וכישרון, 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>הפיכת רעיון חדשני ליוזמה חינוכית מצליחה</w:t>
            </w:r>
            <w:r>
              <w:rPr>
                <w:rFonts w:ascii="Franklin Gothic Book" w:eastAsia="Franklin Gothic Book" w:hAnsi="Franklin Gothic Book" w:cs="David" w:hint="cs"/>
                <w:rtl/>
              </w:rPr>
              <w:t>,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 xml:space="preserve"> </w:t>
            </w:r>
          </w:p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>דוגמאות ליוזמות חינוכיות מצליחות מהארץ ומהעולם</w:t>
            </w:r>
          </w:p>
          <w:p w:rsidR="002A21DE" w:rsidRPr="006A0E95" w:rsidRDefault="002A21DE" w:rsidP="00882039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המרחב הטכנולוגי </w:t>
            </w: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– </w:t>
            </w: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היכרות עם ה-</w:t>
            </w:r>
            <w:r w:rsidRPr="00B075CE">
              <w:rPr>
                <w:rFonts w:ascii="Franklin Gothic Book" w:eastAsia="Franklin Gothic Book" w:hAnsi="Franklin Gothic Book" w:cs="David"/>
              </w:rPr>
              <w:t>Moodle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E86D30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u w:val="single"/>
                <w:rtl/>
              </w:rPr>
            </w:pPr>
            <w:r w:rsidRPr="00E86D30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u w:val="single"/>
                <w:rtl/>
              </w:rPr>
              <w:t>כוחות אישיים וקשיים של המורה והתלמיד במפגש החינוכי בנושא השואה</w:t>
            </w:r>
          </w:p>
          <w:p w:rsidR="002A21DE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סדנה בעקבות כרזות המזמנות שיח על תחושת המסוגלות של אנשי החינוך אל מול הקשיים הרגשיים </w:t>
            </w:r>
            <w:proofErr w:type="spellStart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והקוגנטיביים</w:t>
            </w:r>
            <w:proofErr w:type="spellEnd"/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שלהם ושל תלמידיהם בעיסוק בנושא.</w:t>
            </w:r>
          </w:p>
          <w:p w:rsidR="002A21DE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דיון על העקרונות החינוכיים המרכזיים של התכנית 'בשבילי הזיכרון' והדרכים להעצמת מושגים ערכיים </w:t>
            </w:r>
          </w:p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lightGra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  <w:highlight w:val="lightGray"/>
              </w:rPr>
            </w:pPr>
          </w:p>
        </w:tc>
      </w:tr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</w:t>
            </w:r>
            <w:r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מה היא יוזמה</w:t>
            </w:r>
          </w:p>
          <w:p w:rsidR="002A21DE" w:rsidRPr="00B075CE" w:rsidRDefault="002A21DE" w:rsidP="00882039">
            <w:pPr>
              <w:spacing w:line="240" w:lineRule="auto"/>
              <w:jc w:val="center"/>
              <w:rPr>
                <w:rFonts w:ascii="Franklin Gothic Book" w:eastAsia="Franklin Gothic Book" w:hAnsi="Franklin Gothic Book" w:cs="David"/>
                <w:b/>
                <w:bCs/>
                <w:i/>
                <w:i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 xml:space="preserve"> (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>סדנא -למידה קבוצתית)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rPr>
          <w:trHeight w:val="7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Default="002A21DE" w:rsidP="00882039">
            <w:pPr>
              <w:rPr>
                <w:b/>
                <w:bCs/>
                <w:u w:val="single"/>
                <w:rtl/>
              </w:rPr>
            </w:pPr>
            <w:r w:rsidRPr="004B674A">
              <w:rPr>
                <w:rFonts w:hint="cs"/>
                <w:b/>
                <w:bCs/>
                <w:u w:val="single"/>
                <w:rtl/>
              </w:rPr>
              <w:t xml:space="preserve">לך </w:t>
            </w:r>
            <w:proofErr w:type="spellStart"/>
            <w:r w:rsidRPr="004B674A">
              <w:rPr>
                <w:rFonts w:hint="cs"/>
                <w:b/>
                <w:bCs/>
                <w:u w:val="single"/>
                <w:rtl/>
              </w:rPr>
              <w:t>לך</w:t>
            </w:r>
            <w:proofErr w:type="spellEnd"/>
            <w:r w:rsidRPr="004B674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4B674A">
              <w:rPr>
                <w:b/>
                <w:bCs/>
                <w:u w:val="single"/>
                <w:rtl/>
              </w:rPr>
              <w:t>–</w:t>
            </w:r>
            <w:r w:rsidRPr="004B674A">
              <w:rPr>
                <w:rFonts w:hint="cs"/>
                <w:b/>
                <w:bCs/>
                <w:u w:val="single"/>
                <w:rtl/>
              </w:rPr>
              <w:t xml:space="preserve"> דילמות של זהות יהודית בשואה</w:t>
            </w:r>
          </w:p>
          <w:p w:rsidR="002A21DE" w:rsidRPr="00281AA3" w:rsidRDefault="002A21DE" w:rsidP="00882039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>מפגש המשלב סקירה היסטורית עם שיח על דילמות הזהות היהודית בשואה ומשמעותן עבור אנשי החינוך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Default="002A21DE" w:rsidP="00882039">
            <w:pPr>
              <w:rPr>
                <w:b/>
                <w:bCs/>
                <w:u w:val="single"/>
                <w:rtl/>
              </w:rPr>
            </w:pPr>
            <w:r w:rsidRPr="00D406CA">
              <w:rPr>
                <w:rFonts w:hint="cs"/>
                <w:b/>
                <w:bCs/>
                <w:u w:val="single"/>
                <w:rtl/>
              </w:rPr>
              <w:t>ללמד על השבר ללא משבר</w:t>
            </w:r>
          </w:p>
          <w:p w:rsidR="002A21DE" w:rsidRDefault="002A21DE" w:rsidP="00882039">
            <w:r>
              <w:rPr>
                <w:rFonts w:hint="cs"/>
                <w:b/>
                <w:bCs/>
                <w:u w:val="single"/>
                <w:rtl/>
              </w:rPr>
              <w:t xml:space="preserve">חלק א: </w:t>
            </w:r>
            <w:r>
              <w:rPr>
                <w:b/>
                <w:bCs/>
                <w:u w:val="single"/>
                <w:rtl/>
              </w:rPr>
              <w:t>בין כיסוי לגילוי:</w:t>
            </w:r>
            <w:r>
              <w:rPr>
                <w:rtl/>
              </w:rPr>
              <w:t xml:space="preserve"> המתח שבין לימוד סיפור השואה לבין הצורך להגן על התלמידים. (דוגמאות: </w:t>
            </w:r>
            <w:r>
              <w:rPr>
                <w:rFonts w:hint="cs"/>
                <w:rtl/>
              </w:rPr>
              <w:t xml:space="preserve">הספרים - </w:t>
            </w:r>
            <w:r>
              <w:rPr>
                <w:rtl/>
              </w:rPr>
              <w:t>הבובה שלי ומרטה)</w:t>
            </w:r>
          </w:p>
          <w:p w:rsidR="002A21DE" w:rsidRPr="00E86D30" w:rsidRDefault="002A21DE" w:rsidP="00882039">
            <w:r>
              <w:rPr>
                <w:rFonts w:hint="cs"/>
                <w:b/>
                <w:bCs/>
                <w:u w:val="single"/>
                <w:rtl/>
              </w:rPr>
              <w:t>חלק ב: עוגנים רגשיים ותפקידו של המורה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Default="002A21DE" w:rsidP="00882039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- </w:t>
            </w:r>
            <w:r w:rsidRPr="00591656">
              <w:rPr>
                <w:rFonts w:hint="cs"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כלים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במחקר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איכותני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</w:p>
          <w:p w:rsidR="002A21DE" w:rsidRDefault="002A21DE" w:rsidP="00882039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rtl/>
              </w:rPr>
              <w:t>היכרות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עם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מגוון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כלים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איכותניים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לאיתור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צרכים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בסביבה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החינוכית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המיוחדת</w:t>
            </w:r>
            <w:r w:rsidRPr="00591656">
              <w:rPr>
                <w:rFonts w:eastAsia="Times New Roman" w:cs="David"/>
                <w:rtl/>
              </w:rPr>
              <w:t xml:space="preserve"> (</w:t>
            </w:r>
            <w:r w:rsidRPr="00591656">
              <w:rPr>
                <w:rFonts w:eastAsia="Times New Roman" w:cs="David" w:hint="cs"/>
                <w:rtl/>
              </w:rPr>
              <w:t>ראיון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תצפית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שאלון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וכו</w:t>
            </w:r>
            <w:r w:rsidRPr="00591656">
              <w:rPr>
                <w:rFonts w:eastAsia="Times New Roman" w:cs="David"/>
                <w:rtl/>
              </w:rPr>
              <w:t>').</w:t>
            </w:r>
          </w:p>
          <w:p w:rsidR="002A21DE" w:rsidRPr="00591656" w:rsidRDefault="002A21DE" w:rsidP="00882039">
            <w:pPr>
              <w:spacing w:after="0" w:line="240" w:lineRule="auto"/>
              <w:jc w:val="both"/>
              <w:rPr>
                <w:rFonts w:eastAsia="Times New Roman" w:cs="David"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i/>
                <w:iCs/>
                <w:rtl/>
              </w:rPr>
              <w:t>היכרות עם המחוון</w:t>
            </w:r>
            <w:r>
              <w:rPr>
                <w:rFonts w:eastAsia="Times New Roman" w:cs="David" w:hint="cs"/>
                <w:i/>
                <w:iCs/>
                <w:rtl/>
              </w:rPr>
              <w:t xml:space="preserve"> </w:t>
            </w:r>
          </w:p>
          <w:p w:rsidR="002A21DE" w:rsidRPr="00591656" w:rsidRDefault="002A21DE" w:rsidP="00882039">
            <w:pPr>
              <w:spacing w:line="240" w:lineRule="auto"/>
              <w:jc w:val="center"/>
              <w:rPr>
                <w:rFonts w:eastAsia="Times New Roman" w:cs="David"/>
                <w:b/>
                <w:bCs/>
                <w:i/>
                <w:iCs/>
              </w:rPr>
            </w:pP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(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סדנא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-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למידה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קבוצתית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i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התווית תכנית פעולה -  מטרות,  כלי</w:t>
            </w:r>
            <w:r w:rsidRPr="009761A8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ם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 xml:space="preserve"> לאיסוף נתונים ומדדים להערכת היוזמה.</w:t>
            </w:r>
          </w:p>
          <w:p w:rsidR="002A21DE" w:rsidRDefault="002A21DE" w:rsidP="00882039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מחקר פעולה</w:t>
            </w:r>
            <w:r>
              <w:rPr>
                <w:rFonts w:hint="cs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ולמידה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בקהילות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מקצועיות</w:t>
            </w:r>
          </w:p>
          <w:p w:rsidR="002A21DE" w:rsidRPr="00C64529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חקר הפרקטיקה</w:t>
            </w:r>
          </w:p>
          <w:p w:rsidR="002A21DE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ניסיון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כמקור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ללמידה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והתפתחות</w:t>
            </w:r>
          </w:p>
          <w:p w:rsidR="002A21DE" w:rsidRPr="00B075CE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lastRenderedPageBreak/>
              <w:t>תיעוד ורפלקציה</w:t>
            </w:r>
            <w:r w:rsidRPr="00B075CE"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 xml:space="preserve"> </w:t>
            </w:r>
          </w:p>
          <w:p w:rsidR="002A21DE" w:rsidRPr="00B075CE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פיתוח התבוננות רפלקטיבית על תהליכי למידה והוראה ויישומם בבתי הספר.</w:t>
            </w:r>
          </w:p>
          <w:p w:rsidR="002A21DE" w:rsidRPr="00B075CE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color w:val="FF0000"/>
                <w:rtl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איזה מידע הערכתי  ניתן לקבל באמצעות רפלקציה?</w:t>
            </w:r>
          </w:p>
          <w:p w:rsidR="002A21DE" w:rsidRPr="00281AA3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התלקיט ככלי לתיעוד תהליכי  למידה, תכנון יישום והערכה.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2A21DE" w:rsidP="002A21DE">
            <w:pPr>
              <w:rPr>
                <w:rtl/>
              </w:rPr>
            </w:pPr>
            <w:r w:rsidRPr="00132A9B">
              <w:rPr>
                <w:rFonts w:hint="cs"/>
                <w:b/>
                <w:bCs/>
                <w:u w:val="single"/>
                <w:rtl/>
              </w:rPr>
              <w:t>מסיפור אישי לסיפור כללי ובחז</w:t>
            </w:r>
            <w:r>
              <w:rPr>
                <w:rFonts w:hint="cs"/>
                <w:b/>
                <w:bCs/>
                <w:u w:val="single"/>
                <w:rtl/>
              </w:rPr>
              <w:t>ר</w:t>
            </w:r>
            <w:r w:rsidRPr="00132A9B">
              <w:rPr>
                <w:rFonts w:hint="cs"/>
                <w:b/>
                <w:bCs/>
                <w:u w:val="single"/>
                <w:rtl/>
              </w:rPr>
              <w:t xml:space="preserve">ה. </w:t>
            </w:r>
            <w:r>
              <w:rPr>
                <w:rFonts w:hint="cs"/>
                <w:rtl/>
              </w:rPr>
              <w:t xml:space="preserve">על חשיבותו של סיפורו של היחיד ככלי לפיתוח אמפתיה ויצירת רלוונטיות, לצד הסכנות שבהתמקדות יתר ואיבוד ההקשר וסיפור השואה בכללו. מקומם של המושגים ההיסטוריים בהתמודדות עם קשיים אלו. (דוגמאות מתוך התכנית </w:t>
            </w:r>
            <w:r w:rsidRPr="00AC63B9">
              <w:rPr>
                <w:rFonts w:hint="cs"/>
                <w:b/>
                <w:bCs/>
                <w:rtl/>
              </w:rPr>
              <w:t>'בשבילי הזיכרון'</w:t>
            </w:r>
            <w:r>
              <w:rPr>
                <w:rFonts w:hint="cs"/>
                <w:rtl/>
              </w:rPr>
              <w:t>)</w:t>
            </w:r>
          </w:p>
          <w:p w:rsidR="002A21DE" w:rsidRPr="00293C92" w:rsidRDefault="002A21DE" w:rsidP="00882039">
            <w:pPr>
              <w:spacing w:line="240" w:lineRule="auto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9A5C0C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9C49C0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554CAC" w:rsidRDefault="002A21DE" w:rsidP="00882039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פיתוח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התבוננות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רפלקטיבית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על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והוראה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ויישומם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בבתי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הספר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554CAC" w:rsidRDefault="002A21DE" w:rsidP="00882039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איזה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מידע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הערכתי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ניתן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לקבל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באמצעות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רפלקציה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?</w:t>
            </w:r>
          </w:p>
          <w:p w:rsidR="002A21DE" w:rsidRPr="00281AA3" w:rsidRDefault="002A21DE" w:rsidP="00882039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התלקיט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ככלי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לתיעוד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,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תכנון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יישום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והערכה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88203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9C49C0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2A21DE" w:rsidP="002A21DE">
            <w:pPr>
              <w:rPr>
                <w:rtl/>
              </w:rPr>
            </w:pPr>
            <w:r w:rsidRPr="00034EA2">
              <w:rPr>
                <w:rFonts w:hint="cs"/>
                <w:b/>
                <w:bCs/>
                <w:u w:val="single"/>
                <w:rtl/>
              </w:rPr>
              <w:t>ייצוג חזותי ורב תחומיות בעשייה החינוכית בנושא השואה</w:t>
            </w:r>
            <w:r>
              <w:rPr>
                <w:rFonts w:hint="cs"/>
                <w:rtl/>
              </w:rPr>
              <w:t xml:space="preserve"> </w:t>
            </w:r>
            <w:r w:rsidRPr="001A2D37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שאלות מרכזיות: בין שחור לבן לצבעונית </w:t>
            </w:r>
            <w:r w:rsidRPr="001A2D37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 החשיבות ומה הסכנה? בין קונקרטיות בגיל הרך לעומק רב תחומי בראשית גיל ההתבגרות, בין הצורך בהמחשה ליכולת העיבוד וסכנת הסימולציה. (דוגמאות מערכות המבוססות על יצירה כגון: תומי ומתבוננים ויוצרים ושיעורים מתוקשבים: ילדים בגטו וספרי הזיכרונות)</w:t>
            </w:r>
          </w:p>
          <w:p w:rsidR="002A21DE" w:rsidRPr="006A0E95" w:rsidRDefault="002A21DE" w:rsidP="002A21DE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293C92" w:rsidRDefault="002A21DE" w:rsidP="00882039">
            <w:pPr>
              <w:spacing w:line="240" w:lineRule="auto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rPr>
          <w:trHeight w:val="4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2A21DE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9C49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582801" w:rsidRDefault="002A21DE" w:rsidP="00882039">
            <w:pPr>
              <w:spacing w:line="240" w:lineRule="auto"/>
              <w:rPr>
                <w:rFonts w:ascii="Times New Roman" w:eastAsia="Franklin Gothic Book" w:hAnsi="Times New Roman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882039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</w:tbl>
    <w:p w:rsidR="002A21DE" w:rsidRDefault="002A21DE" w:rsidP="002A21DE">
      <w:pPr>
        <w:tabs>
          <w:tab w:val="left" w:pos="6259"/>
        </w:tabs>
        <w:spacing w:after="0" w:line="360" w:lineRule="auto"/>
        <w:jc w:val="both"/>
        <w:rPr>
          <w:rFonts w:ascii="Franklin Gothic Book" w:eastAsia="Franklin Gothic Book" w:hAnsi="Franklin Gothic Book" w:cs="David"/>
          <w:b/>
          <w:bCs/>
          <w:sz w:val="32"/>
          <w:szCs w:val="32"/>
          <w:u w:val="single"/>
          <w:rtl/>
        </w:rPr>
      </w:pPr>
    </w:p>
    <w:p w:rsidR="008C0DD7" w:rsidRDefault="008C0DD7"/>
    <w:sectPr w:rsidR="008C0DD7" w:rsidSect="00854D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1D"/>
    <w:multiLevelType w:val="hybridMultilevel"/>
    <w:tmpl w:val="D8B8B7CA"/>
    <w:lvl w:ilvl="0" w:tplc="36F4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E"/>
    <w:rsid w:val="002A21DE"/>
    <w:rsid w:val="0064122F"/>
    <w:rsid w:val="00854D51"/>
    <w:rsid w:val="008C0DD7"/>
    <w:rsid w:val="009C49C0"/>
    <w:rsid w:val="00CF75C2"/>
    <w:rsid w:val="00E63821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בית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ריצ'לר יעל</dc:creator>
  <cp:lastModifiedBy>שרה אליאש</cp:lastModifiedBy>
  <cp:revision>2</cp:revision>
  <dcterms:created xsi:type="dcterms:W3CDTF">2016-11-23T10:36:00Z</dcterms:created>
  <dcterms:modified xsi:type="dcterms:W3CDTF">2016-11-23T10:36:00Z</dcterms:modified>
</cp:coreProperties>
</file>