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-1257299</wp:posOffset>
                </wp:positionH>
                <wp:positionV relativeFrom="paragraph">
                  <wp:posOffset>0</wp:posOffset>
                </wp:positionV>
                <wp:extent cx="7664106" cy="581025"/>
                <wp:effectExtent b="0" l="0" r="0" t="0"/>
                <wp:wrapSquare wrapText="bothSides" distB="0" distT="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18710" y="3494250"/>
                          <a:ext cx="7654581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-1257299</wp:posOffset>
                </wp:positionH>
                <wp:positionV relativeFrom="paragraph">
                  <wp:posOffset>0</wp:posOffset>
                </wp:positionV>
                <wp:extent cx="7664106" cy="581025"/>
                <wp:effectExtent b="0" l="0" r="0" t="0"/>
                <wp:wrapSquare wrapText="bothSides" distB="0" distT="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4106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6645275" cy="5048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2028125" y="3532350"/>
                          <a:ext cx="6635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שביל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(חינוך)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 ישראל : מפקחים פוגשים פרחי הוראה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6645275" cy="504825"/>
                <wp:effectExtent b="0" l="0" r="0" t="0"/>
                <wp:wrapSquare wrapText="bothSides" distB="45720" distT="45720" distL="114300" distR="11430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27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רציונל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נקודת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המעבר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שבין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עולם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הלמידה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לעולם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עלולה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להוות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נקודת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משבר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עבור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ולפגוע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בקליטה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מיטבית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והשתלבות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במערכת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החינוך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אנו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מאמינים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שמפגש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מפקחות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ומפקחים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כבר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בשלב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הלמידה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עשוי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לסייע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בנקודת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משבר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זו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הכרות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טובה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מפקחות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ומפקחים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–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חששותיהם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ציפיותהם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שאיפותיהם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תוכל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לסייע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בהתאמה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טובה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המערכת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לפרחי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ולהבנה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טובה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יותר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מאפייני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המערכת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והדרך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היא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פועלת</w:t>
      </w:r>
    </w:p>
    <w:p w:rsidR="00000000" w:rsidDel="00000000" w:rsidP="00000000" w:rsidRDefault="00000000" w:rsidRPr="00000000" w14:paraId="00000006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הכרות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אישית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מנהיגות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בכירה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מפקח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יש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בכדי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לחזק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החוסן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והמוטיבציה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פרח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להתמודדות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משברי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הכניסה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לתפקיד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תחושת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שייכות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ומסוגלות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אכפתיות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והכלה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כמרכיבים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מרכזיים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מוטיבציה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וחוסן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7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מבנה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אנו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מציעים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קורס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סמסטריאלי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12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יחידות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שש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מפגשים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* 2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יחידות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)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שיעסוק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בנושא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זהות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אישית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ומקצועית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לקראת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הכניסה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לעולם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סילבוס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קורס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זה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מבקש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לחזק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האישית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/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מקצועית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שפרח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ההוראה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מביאה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איתה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לעולם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1"/>
        </w:rPr>
        <w:t xml:space="preserve">נקודת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המעבר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כניסה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לעולם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עבודה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מזמנת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לעיתים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רבות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רגעי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משבר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הנובעים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מהפער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בין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התקוות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והציפיות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לאתגרי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. 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מול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קושי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זה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אנו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מבקשים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לחזק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שני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מרכיבים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: 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יחסים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(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קשר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מנהל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בכיר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במערכת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),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חזון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וייעוד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("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לשם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מה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"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כעוגן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ומצפן</w:t>
      </w:r>
      <w:r w:rsidDel="00000000" w:rsidR="00000000" w:rsidRPr="00000000">
        <w:rPr>
          <w:color w:val="404040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E">
      <w:pPr>
        <w:bidi w:val="1"/>
        <w:spacing w:after="0" w:lineRule="auto"/>
        <w:jc w:val="both"/>
        <w:rPr>
          <w:color w:val="40404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773.0" w:type="dxa"/>
        <w:jc w:val="left"/>
        <w:tblInd w:w="-1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0"/>
        <w:gridCol w:w="987"/>
        <w:gridCol w:w="7006"/>
        <w:tblGridChange w:id="0">
          <w:tblGrid>
            <w:gridCol w:w="2780"/>
            <w:gridCol w:w="987"/>
            <w:gridCol w:w="700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01F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20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השביל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שלי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מתחיל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זהות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אישית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שם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פרטי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למה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אני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ולמה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עכשיו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3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5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הכרות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שלושה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שמות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ניתנו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לאדם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לכל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הסיפור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אישי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המפקח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איך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התחלתי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מורה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משמעותי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שהיה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חויה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)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מתודה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לשיח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היכרות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לפי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השיר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זלדה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בקבוצות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שעה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קרוסלה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לתת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גם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להם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לספר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חויה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מורה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משמעותי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7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9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מעגל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הזהב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ומצפן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פנימי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        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לשלוח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להם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הסרטון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סיימון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סינק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לקראת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המפגש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כתה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הפוכה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)                                                                                    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"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האדם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קונה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שום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מעלה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כי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מתוכיותו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מעצמותו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המהותית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הפנימית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ממה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שבא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מבחוץ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".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קוק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דמיון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מודרך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תלמיד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שהשפעת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חייו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תמונת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עתיד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לסיים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בסיפור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הרב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זקס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שכתב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שליחותו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שקיבל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מהרבי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מלובביץ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rtl w:val="1"/>
              </w:rPr>
              <w:t xml:space="preserve">בסוף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המפגש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שישאר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להם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הלשם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color w:val="404040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יושבים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יחד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סביב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המדורה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) :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חצי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שעה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לשיח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פתוח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מעסיק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אותן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2B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2</w:t>
            </w:r>
          </w:p>
          <w:p w:rsidR="00000000" w:rsidDel="00000000" w:rsidP="00000000" w:rsidRDefault="00000000" w:rsidRPr="00000000" w14:paraId="0000002C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נפגשים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בשביל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החינוך</w:t>
            </w:r>
          </w:p>
          <w:p w:rsidR="00000000" w:rsidDel="00000000" w:rsidP="00000000" w:rsidRDefault="00000000" w:rsidRPr="00000000" w14:paraId="0000002D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זהות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מקצועית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–</w:t>
            </w:r>
          </w:p>
          <w:p w:rsidR="00000000" w:rsidDel="00000000" w:rsidP="00000000" w:rsidRDefault="00000000" w:rsidRPr="00000000" w14:paraId="0000002E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סיפורן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מחנכות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2F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להחזיק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חלומות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ופחדים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3</w:t>
            </w:r>
          </w:p>
          <w:p w:rsidR="00000000" w:rsidDel="00000000" w:rsidP="00000000" w:rsidRDefault="00000000" w:rsidRPr="00000000" w14:paraId="00000031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זהות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מקצועית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מעגל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שיח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מורות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גננות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Rule="auto"/>
              <w:jc w:val="center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להביא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מורות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שיספרו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חויה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מעצבת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בא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לידי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ביטוי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לשם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" 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היו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מוקדי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הכוח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עבורן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שותפים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היו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Rule="auto"/>
              <w:jc w:val="center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בעיה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לזמן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מורה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אפשר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לצלם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לפני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...</w:t>
            </w:r>
          </w:p>
          <w:p w:rsidR="00000000" w:rsidDel="00000000" w:rsidP="00000000" w:rsidRDefault="00000000" w:rsidRPr="00000000" w14:paraId="00000035">
            <w:pPr>
              <w:bidi w:val="1"/>
              <w:spacing w:after="144" w:before="280" w:line="240" w:lineRule="auto"/>
              <w:ind w:right="312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דולק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נר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ואין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נרו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כנר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חברו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ואין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נר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."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קוק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4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8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מפת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פחדים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וחלומות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כוחות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והזדמנויות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מסלול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אתגרי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Rule="auto"/>
              <w:jc w:val="center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קבוצתי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ואז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אישי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מדביקים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2-3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פחדים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ותקוות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ואז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אישי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מקורות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הכח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שירפדו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הבורות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תפקיד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המפקח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לתת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לגיטימציה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לפחדים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ולאסוף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הכוחות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יושבים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יחד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סביב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המדורה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) :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חצי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שעה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לשיח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פתוח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03C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3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באמצע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בצד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החינוך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הממלכתי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דתי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קבוצת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שייכות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-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שם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משפחה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חמד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משפחה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לתמיד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משפחה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שבוחרת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בך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"</w:t>
            </w:r>
            <w:r w:rsidDel="00000000" w:rsidR="00000000" w:rsidRPr="00000000">
              <w:rPr>
                <w:rFonts w:ascii="Open Sans" w:cs="Open Sans" w:eastAsia="Open Sans" w:hAnsi="Open Sans"/>
                <w:color w:val="5e5e5e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0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5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2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שייכות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קבוצתית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החמ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קפה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דילמה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סביב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סוגיות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מורים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בנושאים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אתגרי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החמ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-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אוכ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מסורתיות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בערים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מעורבות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מבנה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משפחתי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עולים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חדשים</w:t>
            </w: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סיפורי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מקרה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מציאויות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פחות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מוכרות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6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6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8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אישי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חזון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החמ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ואבני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הדרך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סדנאות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טובות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יושבים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יחד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סביב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המדורה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) :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חצי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שעה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לשיח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1"/>
              </w:rPr>
              <w:t xml:space="preserve">פתוח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4A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מבט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רבות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זהויות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–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התבוננות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מערכת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החינוך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מזויות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שונות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7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4F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סיור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מורות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התבוננות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חווית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הלמידה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מנקודת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המבט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מנהלת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תלמידה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הורה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מפקחת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שיח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מנהלים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גננת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התבוננות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ניהול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גן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הילדים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מנקודת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מבט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אנשי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הצוות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ילדים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הורים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שיח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אנשי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ניהול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במשקפיים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שונים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כצופים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בלבד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בסיטואציות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בי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ובגן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בסוף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דמות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מעוררת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0"/>
                <w:szCs w:val="20"/>
                <w:rtl w:val="1"/>
              </w:rPr>
              <w:t xml:space="preserve">השראה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8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057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5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במפגש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שבילים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Rule="auto"/>
              <w:jc w:val="center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זהויות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-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אתגרים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1"/>
              </w:rPr>
              <w:t xml:space="preserve">ודילמות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A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9</w:t>
            </w:r>
          </w:p>
        </w:tc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05B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ניהול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קונפליקטים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סימולציות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בכתה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כרטיסיות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תרחישים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דינמיים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ועצירות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מורות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ניהול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כיתה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התמודדות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הורים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גננות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ניהול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התמודדות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הורים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60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10</w:t>
            </w:r>
          </w:p>
        </w:tc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6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השביל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שלי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ממשיך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מכאן</w:t>
            </w:r>
          </w:p>
          <w:p w:rsidR="00000000" w:rsidDel="00000000" w:rsidP="00000000" w:rsidRDefault="00000000" w:rsidRPr="00000000" w14:paraId="00000064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11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Rule="auto"/>
              <w:jc w:val="center"/>
              <w:rPr>
                <w:b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יחידה</w:t>
            </w:r>
            <w:r w:rsidDel="00000000" w:rsidR="00000000" w:rsidRPr="00000000">
              <w:rPr>
                <w:b w:val="1"/>
                <w:color w:val="404040"/>
                <w:sz w:val="24"/>
                <w:szCs w:val="24"/>
                <w:rtl w:val="1"/>
              </w:rPr>
              <w:t xml:space="preserve">  12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סיכום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בעלי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תפקידים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אחרים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בראשית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דרכם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ממגזרים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אחרים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מנהיגות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אותנטית</w:t>
            </w:r>
            <w:r w:rsidDel="00000000" w:rsidR="00000000" w:rsidRPr="00000000">
              <w:rPr>
                <w:color w:val="404040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יצייר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באמת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ובתמים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שנשמתו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מראה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יוציא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תנובתו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הרוחנית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מן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הכוח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הפועל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538135"/>
                <w:sz w:val="24"/>
                <w:szCs w:val="24"/>
                <w:rtl w:val="1"/>
              </w:rPr>
              <w:t xml:space="preserve">קוק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Rule="auto"/>
              <w:jc w:val="center"/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bidi w:val="1"/>
        <w:spacing w:after="0" w:lineRule="auto"/>
        <w:jc w:val="center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after="0" w:lineRule="auto"/>
        <w:jc w:val="center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משוב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לאחר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המפגש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השני</w:t>
      </w:r>
    </w:p>
    <w:p w:rsidR="00000000" w:rsidDel="00000000" w:rsidP="00000000" w:rsidRDefault="00000000" w:rsidRPr="00000000" w14:paraId="0000006D">
      <w:pPr>
        <w:bidi w:val="1"/>
        <w:spacing w:after="0" w:lineRule="auto"/>
        <w:jc w:val="center"/>
        <w:rPr>
          <w:b w:val="1"/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ורפלקציה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מקיפה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04040"/>
          <w:sz w:val="24"/>
          <w:szCs w:val="24"/>
          <w:rtl w:val="1"/>
        </w:rPr>
        <w:t xml:space="preserve">בסיום</w:t>
      </w:r>
    </w:p>
    <w:p w:rsidR="00000000" w:rsidDel="00000000" w:rsidP="00000000" w:rsidRDefault="00000000" w:rsidRPr="00000000" w14:paraId="0000006E">
      <w:pPr>
        <w:bidi w:val="1"/>
        <w:spacing w:after="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800" w:right="1800" w:header="284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105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-580389</wp:posOffset>
          </wp:positionH>
          <wp:positionV relativeFrom="paragraph">
            <wp:posOffset>36195</wp:posOffset>
          </wp:positionV>
          <wp:extent cx="1168400" cy="856615"/>
          <wp:effectExtent b="0" l="0" r="0" t="0"/>
          <wp:wrapTopAndBottom distB="0" distT="0"/>
          <wp:docPr id="2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856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5060950</wp:posOffset>
          </wp:positionH>
          <wp:positionV relativeFrom="paragraph">
            <wp:posOffset>36195</wp:posOffset>
          </wp:positionV>
          <wp:extent cx="790575" cy="859155"/>
          <wp:effectExtent b="0" l="0" r="0" t="0"/>
          <wp:wrapSquare wrapText="bothSides" distB="0" distT="0" distL="114300" distR="114300"/>
          <wp:docPr id="2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8591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F16EE"/>
    <w:pPr>
      <w:bidi w:val="1"/>
      <w:spacing w:after="200" w:line="276" w:lineRule="auto"/>
    </w:pPr>
    <w:rPr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rsid w:val="00715A5E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link w:val="a3"/>
    <w:uiPriority w:val="99"/>
    <w:semiHidden w:val="1"/>
    <w:locked w:val="1"/>
    <w:rsid w:val="00715A5E"/>
    <w:rPr>
      <w:rFonts w:cs="Times New Roman"/>
    </w:rPr>
  </w:style>
  <w:style w:type="paragraph" w:styleId="a5">
    <w:name w:val="footer"/>
    <w:basedOn w:val="a"/>
    <w:link w:val="a6"/>
    <w:uiPriority w:val="99"/>
    <w:semiHidden w:val="1"/>
    <w:rsid w:val="00715A5E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link w:val="a5"/>
    <w:uiPriority w:val="99"/>
    <w:semiHidden w:val="1"/>
    <w:locked w:val="1"/>
    <w:rsid w:val="00715A5E"/>
    <w:rPr>
      <w:rFonts w:cs="Times New Roman"/>
    </w:rPr>
  </w:style>
  <w:style w:type="paragraph" w:styleId="a7">
    <w:name w:val="Balloon Text"/>
    <w:basedOn w:val="a"/>
    <w:link w:val="a8"/>
    <w:uiPriority w:val="99"/>
    <w:semiHidden w:val="1"/>
    <w:rsid w:val="008154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טקסט בלונים תו"/>
    <w:link w:val="a7"/>
    <w:uiPriority w:val="99"/>
    <w:semiHidden w:val="1"/>
    <w:locked w:val="1"/>
    <w:rsid w:val="008154E0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8B6D51"/>
    <w:pPr>
      <w:ind w:left="720"/>
      <w:contextualSpacing w:val="1"/>
    </w:pPr>
  </w:style>
  <w:style w:type="table" w:styleId="1" w:customStyle="1">
    <w:name w:val="טבלת רשת1"/>
    <w:basedOn w:val="a1"/>
    <w:uiPriority w:val="99"/>
    <w:rsid w:val="00EF16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-11" w:customStyle="1">
    <w:name w:val="הצללה בהירה - הדגשה 11"/>
    <w:basedOn w:val="a1"/>
    <w:uiPriority w:val="99"/>
    <w:rsid w:val="00EF16EE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/>
      </w:pPr>
      <w:rPr>
        <w:rFonts w:cs="Arial"/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rFonts w:cs="Arial"/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rFonts w:cs="Arial"/>
        <w:b w:val="1"/>
        <w:bCs w:val="1"/>
      </w:rPr>
    </w:tblStylePr>
    <w:tblStylePr w:type="lastCol">
      <w:rPr>
        <w:rFonts w:cs="Arial"/>
        <w:b w:val="1"/>
        <w:bCs w:val="1"/>
      </w:rPr>
    </w:tblStylePr>
    <w:tblStylePr w:type="band1Vert">
      <w:rPr>
        <w:rFonts w:cs="Arial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rPr>
        <w:rFonts w:cs="Arial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character" w:styleId="aa">
    <w:name w:val="annotation reference"/>
    <w:uiPriority w:val="99"/>
    <w:semiHidden w:val="1"/>
    <w:rsid w:val="003B373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rsid w:val="003B3739"/>
    <w:pPr>
      <w:spacing w:line="240" w:lineRule="auto"/>
    </w:pPr>
    <w:rPr>
      <w:sz w:val="20"/>
      <w:szCs w:val="20"/>
    </w:rPr>
  </w:style>
  <w:style w:type="character" w:styleId="ac" w:customStyle="1">
    <w:name w:val="טקסט הערה תו"/>
    <w:link w:val="ab"/>
    <w:uiPriority w:val="99"/>
    <w:semiHidden w:val="1"/>
    <w:locked w:val="1"/>
    <w:rsid w:val="003B3739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 w:val="1"/>
    <w:rsid w:val="003B3739"/>
    <w:rPr>
      <w:b w:val="1"/>
      <w:bCs w:val="1"/>
    </w:rPr>
  </w:style>
  <w:style w:type="character" w:styleId="ae" w:customStyle="1">
    <w:name w:val="נושא הערה תו"/>
    <w:link w:val="ad"/>
    <w:uiPriority w:val="99"/>
    <w:semiHidden w:val="1"/>
    <w:locked w:val="1"/>
    <w:rsid w:val="003B3739"/>
    <w:rPr>
      <w:rFonts w:cs="Times New Roman"/>
      <w:b w:val="1"/>
      <w:bCs w:val="1"/>
      <w:sz w:val="20"/>
      <w:szCs w:val="20"/>
    </w:rPr>
  </w:style>
  <w:style w:type="paragraph" w:styleId="af">
    <w:name w:val="No Spacing"/>
    <w:uiPriority w:val="1"/>
    <w:qFormat w:val="1"/>
    <w:rsid w:val="00721A17"/>
    <w:pPr>
      <w:bidi w:val="1"/>
    </w:pPr>
    <w:rPr>
      <w:sz w:val="22"/>
      <w:szCs w:val="22"/>
    </w:rPr>
  </w:style>
  <w:style w:type="paragraph" w:styleId="af0">
    <w:name w:val="Plain Text"/>
    <w:basedOn w:val="a"/>
    <w:link w:val="af1"/>
    <w:uiPriority w:val="99"/>
    <w:semiHidden w:val="1"/>
    <w:unhideWhenUsed w:val="1"/>
    <w:rsid w:val="006F4E6F"/>
    <w:pPr>
      <w:spacing w:after="0" w:line="240" w:lineRule="auto"/>
    </w:pPr>
    <w:rPr>
      <w:rFonts w:ascii="Consolas" w:cs="Consolas" w:hAnsi="Consolas"/>
      <w:sz w:val="21"/>
      <w:szCs w:val="21"/>
    </w:rPr>
  </w:style>
  <w:style w:type="character" w:styleId="af1" w:customStyle="1">
    <w:name w:val="טקסט רגיל תו"/>
    <w:link w:val="af0"/>
    <w:uiPriority w:val="99"/>
    <w:semiHidden w:val="1"/>
    <w:rsid w:val="006F4E6F"/>
    <w:rPr>
      <w:rFonts w:ascii="Consolas" w:cs="Consolas" w:eastAsia="Calibri" w:hAnsi="Consolas"/>
      <w:sz w:val="21"/>
      <w:szCs w:val="21"/>
    </w:rPr>
  </w:style>
  <w:style w:type="table" w:styleId="af2">
    <w:name w:val="Table Grid"/>
    <w:basedOn w:val="a1"/>
    <w:uiPriority w:val="39"/>
    <w:locked w:val="1"/>
    <w:rsid w:val="008D0796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3">
    <w:name w:val="Emphasis"/>
    <w:basedOn w:val="a0"/>
    <w:uiPriority w:val="20"/>
    <w:qFormat w:val="1"/>
    <w:locked w:val="1"/>
    <w:rsid w:val="00064FBD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365f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s5L2X8R5QxfIOr69MdTZxPVyg==">AMUW2mUX77z/bHggLksFYHspKEAycjiaKn1Zl8j4fNgiIMz6RNacFHOrWI02WJcjVAn1FIbQF1JajWxUYOdKxnU/hwnkvwCquZ/rMxcqSxXIIG+UvFVYevH0GvCtL3OjBh9G9UvjNNMs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2022-06-16T06:00:00Z</dcterms:created>
  <dc:creator>User</dc:creator>
</cp:coreProperties>
</file>