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60" w:rsidRDefault="00D12560" w:rsidP="00D12560">
      <w:pPr>
        <w:pStyle w:val="a7"/>
        <w:rPr>
          <w:b/>
          <w:bCs/>
          <w:color w:val="000099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22652E95" wp14:editId="1EB8C9BF">
            <wp:simplePos x="0" y="0"/>
            <wp:positionH relativeFrom="column">
              <wp:posOffset>2921000</wp:posOffset>
            </wp:positionH>
            <wp:positionV relativeFrom="paragraph">
              <wp:posOffset>-215265</wp:posOffset>
            </wp:positionV>
            <wp:extent cx="466725" cy="590550"/>
            <wp:effectExtent l="19050" t="0" r="9525" b="0"/>
            <wp:wrapNone/>
            <wp:docPr id="11" name="תמונה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/>
      </w:r>
    </w:p>
    <w:p w:rsidR="00D12560" w:rsidRDefault="00D12560" w:rsidP="00D12560">
      <w:pPr>
        <w:pStyle w:val="a7"/>
        <w:jc w:val="center"/>
        <w:rPr>
          <w:b/>
          <w:bCs/>
          <w:color w:val="000099"/>
          <w:rtl/>
        </w:rPr>
      </w:pPr>
    </w:p>
    <w:p w:rsidR="00D12560" w:rsidRPr="00754A2B" w:rsidRDefault="00D12560" w:rsidP="00D12560">
      <w:pPr>
        <w:pStyle w:val="a7"/>
        <w:jc w:val="center"/>
        <w:rPr>
          <w:rFonts w:cs="David"/>
          <w:b/>
          <w:bCs/>
          <w:color w:val="000099"/>
          <w:sz w:val="28"/>
          <w:szCs w:val="28"/>
          <w:rtl/>
        </w:rPr>
      </w:pPr>
      <w:r w:rsidRPr="00754A2B">
        <w:rPr>
          <w:rFonts w:cs="David" w:hint="cs"/>
          <w:b/>
          <w:bCs/>
          <w:color w:val="000099"/>
          <w:sz w:val="28"/>
          <w:szCs w:val="28"/>
          <w:rtl/>
        </w:rPr>
        <w:t>אורות ישראל</w:t>
      </w:r>
    </w:p>
    <w:p w:rsidR="00D12560" w:rsidRPr="00754A2B" w:rsidRDefault="00D12560" w:rsidP="00D12560">
      <w:pPr>
        <w:pStyle w:val="a7"/>
        <w:jc w:val="center"/>
        <w:rPr>
          <w:rFonts w:cs="David"/>
          <w:color w:val="000099"/>
          <w:sz w:val="22"/>
          <w:szCs w:val="22"/>
          <w:rtl/>
        </w:rPr>
      </w:pPr>
      <w:r w:rsidRPr="00754A2B">
        <w:rPr>
          <w:rFonts w:cs="David" w:hint="cs"/>
          <w:color w:val="000099"/>
          <w:sz w:val="22"/>
          <w:szCs w:val="22"/>
          <w:rtl/>
        </w:rPr>
        <w:t>מכללה אקדמית לחינוך</w:t>
      </w:r>
    </w:p>
    <w:p w:rsidR="00D12560" w:rsidRPr="00D12560" w:rsidRDefault="00D12560" w:rsidP="00D12560">
      <w:pPr>
        <w:pStyle w:val="a7"/>
        <w:jc w:val="center"/>
        <w:rPr>
          <w:rFonts w:cs="David"/>
          <w:rtl/>
        </w:rPr>
      </w:pPr>
      <w:r>
        <w:rPr>
          <w:rFonts w:cs="David"/>
          <w:noProof/>
          <w:color w:val="000099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25400</wp:posOffset>
                </wp:positionV>
                <wp:extent cx="571500" cy="22860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560" w:rsidRDefault="00D12560" w:rsidP="00D12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414pt;margin-top:2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" stroked="f">
                <v:textbox>
                  <w:txbxContent>
                    <w:p w:rsidR="00D12560" w:rsidRDefault="00D12560" w:rsidP="00D12560"/>
                  </w:txbxContent>
                </v:textbox>
              </v:shape>
            </w:pict>
          </mc:Fallback>
        </mc:AlternateContent>
      </w:r>
      <w:r w:rsidRPr="00754A2B">
        <w:rPr>
          <w:rFonts w:cs="David" w:hint="cs"/>
          <w:color w:val="000099"/>
          <w:sz w:val="22"/>
          <w:szCs w:val="22"/>
          <w:rtl/>
        </w:rPr>
        <w:t>מייסודן של מכללות מורשת יעקב ואורות ישראל</w:t>
      </w:r>
      <w:r w:rsidRPr="00754A2B">
        <w:rPr>
          <w:rFonts w:cs="David"/>
          <w:rtl/>
        </w:rPr>
        <w:t xml:space="preserve"> </w:t>
      </w:r>
    </w:p>
    <w:p w:rsidR="00D12560" w:rsidRDefault="00D12560" w:rsidP="00D12560">
      <w:pPr>
        <w:spacing w:line="360" w:lineRule="auto"/>
        <w:contextualSpacing/>
        <w:rPr>
          <w:rFonts w:cs="David"/>
          <w:b w:val="0"/>
          <w:bCs/>
          <w:sz w:val="24"/>
          <w:szCs w:val="24"/>
          <w:rtl/>
        </w:rPr>
      </w:pP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>
        <w:rPr>
          <w:rFonts w:cs="David" w:hint="cs"/>
          <w:b w:val="0"/>
          <w:bCs/>
          <w:sz w:val="24"/>
          <w:szCs w:val="24"/>
          <w:rtl/>
        </w:rPr>
        <w:t>שם</w:t>
      </w:r>
      <w:r w:rsidRPr="003E3E90">
        <w:rPr>
          <w:rFonts w:cs="David" w:hint="cs"/>
          <w:b w:val="0"/>
          <w:bCs/>
          <w:sz w:val="24"/>
          <w:szCs w:val="24"/>
          <w:rtl/>
        </w:rPr>
        <w:t xml:space="preserve"> הקורס: </w:t>
      </w:r>
      <w:r>
        <w:rPr>
          <w:rFonts w:cs="David" w:hint="cs"/>
          <w:b w:val="0"/>
          <w:bCs/>
          <w:sz w:val="24"/>
          <w:szCs w:val="24"/>
          <w:rtl/>
        </w:rPr>
        <w:t>ליקויי חשבון</w:t>
      </w: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 w:rsidRPr="003E3E90">
        <w:rPr>
          <w:rFonts w:cs="David" w:hint="cs"/>
          <w:b w:val="0"/>
          <w:bCs/>
          <w:sz w:val="24"/>
          <w:szCs w:val="24"/>
          <w:rtl/>
        </w:rPr>
        <w:t>שנה"ל:</w:t>
      </w:r>
      <w:r>
        <w:rPr>
          <w:rFonts w:cs="David" w:hint="cs"/>
          <w:b w:val="0"/>
          <w:bCs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b w:val="0"/>
          <w:bCs/>
          <w:sz w:val="24"/>
          <w:szCs w:val="24"/>
          <w:rtl/>
        </w:rPr>
        <w:t>תש"ף</w:t>
      </w:r>
      <w:proofErr w:type="spellEnd"/>
    </w:p>
    <w:p w:rsidR="000A1E57" w:rsidRPr="003E3E90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>
        <w:rPr>
          <w:rFonts w:cs="David" w:hint="cs"/>
          <w:b w:val="0"/>
          <w:bCs/>
          <w:sz w:val="24"/>
          <w:szCs w:val="24"/>
          <w:rtl/>
        </w:rPr>
        <w:t>קורס שנתי/סמסטריאלי:</w:t>
      </w:r>
      <w:r w:rsidRPr="000A1E57">
        <w:rPr>
          <w:rtl/>
        </w:rPr>
        <w:t xml:space="preserve"> </w:t>
      </w:r>
      <w:r w:rsidRPr="000A1E57">
        <w:rPr>
          <w:rFonts w:cs="David"/>
          <w:b w:val="0"/>
          <w:bCs/>
          <w:sz w:val="24"/>
          <w:szCs w:val="24"/>
          <w:rtl/>
        </w:rPr>
        <w:t>סמסטריאלי</w:t>
      </w: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 w:rsidRPr="003E3E90">
        <w:rPr>
          <w:rFonts w:cs="David" w:hint="cs"/>
          <w:b w:val="0"/>
          <w:bCs/>
          <w:sz w:val="24"/>
          <w:szCs w:val="24"/>
          <w:rtl/>
        </w:rPr>
        <w:t xml:space="preserve">שם המרצה: </w:t>
      </w:r>
      <w:r>
        <w:rPr>
          <w:rFonts w:cs="David" w:hint="cs"/>
          <w:b w:val="0"/>
          <w:bCs/>
          <w:sz w:val="24"/>
          <w:szCs w:val="24"/>
          <w:rtl/>
        </w:rPr>
        <w:t xml:space="preserve">ד"ר זאב </w:t>
      </w:r>
      <w:proofErr w:type="spellStart"/>
      <w:r>
        <w:rPr>
          <w:rFonts w:cs="David" w:hint="cs"/>
          <w:b w:val="0"/>
          <w:bCs/>
          <w:sz w:val="24"/>
          <w:szCs w:val="24"/>
          <w:rtl/>
        </w:rPr>
        <w:t>קאים</w:t>
      </w:r>
      <w:proofErr w:type="spellEnd"/>
    </w:p>
    <w:p w:rsidR="000A1E57" w:rsidRPr="003E3E90" w:rsidRDefault="000A1E57" w:rsidP="000A1E57">
      <w:pPr>
        <w:rPr>
          <w:rFonts w:cs="David"/>
          <w:b w:val="0"/>
          <w:bCs/>
          <w:sz w:val="24"/>
          <w:szCs w:val="24"/>
        </w:rPr>
      </w:pPr>
      <w:r>
        <w:rPr>
          <w:rFonts w:cs="David" w:hint="cs"/>
          <w:b w:val="0"/>
          <w:bCs/>
          <w:sz w:val="24"/>
          <w:szCs w:val="24"/>
          <w:rtl/>
        </w:rPr>
        <w:t xml:space="preserve">מס' שעות/נקודת זכות: 1 </w:t>
      </w:r>
      <w:proofErr w:type="spellStart"/>
      <w:r>
        <w:rPr>
          <w:rFonts w:cs="David" w:hint="cs"/>
          <w:b w:val="0"/>
          <w:bCs/>
          <w:sz w:val="24"/>
          <w:szCs w:val="24"/>
          <w:rtl/>
        </w:rPr>
        <w:t>ש"ש</w:t>
      </w:r>
      <w:proofErr w:type="spellEnd"/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>
        <w:rPr>
          <w:rFonts w:cs="David" w:hint="cs"/>
          <w:b w:val="0"/>
          <w:bCs/>
          <w:sz w:val="24"/>
          <w:szCs w:val="24"/>
          <w:rtl/>
        </w:rPr>
        <w:t>דרישות קדם: אין</w:t>
      </w: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>
        <w:rPr>
          <w:rFonts w:cs="David" w:hint="cs"/>
          <w:b w:val="0"/>
          <w:bCs/>
          <w:sz w:val="24"/>
          <w:szCs w:val="24"/>
          <w:rtl/>
        </w:rPr>
        <w:t>חובה/בחירה: חובה</w:t>
      </w: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>
        <w:rPr>
          <w:rFonts w:cs="David" w:hint="cs"/>
          <w:b w:val="0"/>
          <w:bCs/>
          <w:sz w:val="24"/>
          <w:szCs w:val="24"/>
          <w:rtl/>
        </w:rPr>
        <w:t>מטרות/תוצרי למידה:</w:t>
      </w: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</w:p>
    <w:p w:rsidR="000A1E57" w:rsidRDefault="000A1E57" w:rsidP="000A1E57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הסטודנט יֵדע את מרכיבי הידע המתמטי.</w:t>
      </w:r>
    </w:p>
    <w:p w:rsidR="000A1E57" w:rsidRDefault="000A1E57" w:rsidP="000A1E57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הסטודנט יכיר את רציונל תכניות הלימודים החדשות במתמטיקה בגילאים השונים והקשרים ביניהן.</w:t>
      </w:r>
    </w:p>
    <w:p w:rsidR="000A1E57" w:rsidRDefault="000A1E57" w:rsidP="000A1E57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הסטודנט ידע את מדיניות האגף לחינוך מיוחד במתמטיקה באוכלוסיות השונות.</w:t>
      </w:r>
    </w:p>
    <w:p w:rsidR="000A1E57" w:rsidRDefault="000A1E57" w:rsidP="000A1E57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הסטודנט יֵדע את מאפייני הקשיים והלקויות במתמטיקה.</w:t>
      </w:r>
    </w:p>
    <w:p w:rsidR="000A1E57" w:rsidRDefault="000A1E57" w:rsidP="000A1E57">
      <w:pPr>
        <w:numPr>
          <w:ilvl w:val="0"/>
          <w:numId w:val="1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הסטודנט יכיר את יסודות ההוראה המתקנת במתמטיקה.</w:t>
      </w: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>
        <w:rPr>
          <w:rFonts w:cs="David" w:hint="cs"/>
          <w:b w:val="0"/>
          <w:bCs/>
          <w:sz w:val="24"/>
          <w:szCs w:val="24"/>
          <w:rtl/>
        </w:rPr>
        <w:t>תיאור הקורס:</w:t>
      </w: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</w:p>
    <w:p w:rsidR="000A1E57" w:rsidRPr="005907AE" w:rsidRDefault="000A1E57" w:rsidP="000A1E57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cs="David"/>
          <w:sz w:val="24"/>
          <w:szCs w:val="24"/>
          <w:rtl/>
        </w:rPr>
      </w:pPr>
      <w:r w:rsidRPr="005907AE">
        <w:rPr>
          <w:rFonts w:cs="David" w:hint="cs"/>
          <w:sz w:val="24"/>
          <w:szCs w:val="24"/>
          <w:rtl/>
        </w:rPr>
        <w:t>הקורס יועבר באמצעות הרצאות פרונטאליות וצפייה משותפת בסרטי וידאו</w:t>
      </w:r>
      <w:r>
        <w:rPr>
          <w:rFonts w:cs="David" w:hint="cs"/>
          <w:sz w:val="24"/>
          <w:szCs w:val="24"/>
          <w:rtl/>
        </w:rPr>
        <w:t>, בד בבד עם דיונים בהשתתפות הלומדים אודות חומר הקריאה.</w:t>
      </w:r>
    </w:p>
    <w:p w:rsidR="000A1E57" w:rsidRPr="005907AE" w:rsidRDefault="000A1E57" w:rsidP="000A1E57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cs="David"/>
          <w:sz w:val="24"/>
          <w:szCs w:val="24"/>
        </w:rPr>
      </w:pPr>
      <w:r w:rsidRPr="005907AE">
        <w:rPr>
          <w:rFonts w:cs="David" w:hint="cs"/>
          <w:sz w:val="24"/>
          <w:szCs w:val="24"/>
          <w:rtl/>
        </w:rPr>
        <w:t>הבנת התכנים שיועברו בהרצאות תלווה בשימוש במצגות אשר יוצגו בשיעור ויהיו זמינות באתר הקורס.</w:t>
      </w:r>
    </w:p>
    <w:p w:rsidR="000A1E57" w:rsidRDefault="000A1E57" w:rsidP="000A1E57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cs="David"/>
          <w:sz w:val="24"/>
          <w:szCs w:val="24"/>
        </w:rPr>
      </w:pPr>
      <w:r w:rsidRPr="005907AE">
        <w:rPr>
          <w:rFonts w:cs="David" w:hint="cs"/>
          <w:sz w:val="24"/>
          <w:szCs w:val="24"/>
          <w:rtl/>
        </w:rPr>
        <w:t xml:space="preserve"> הבנת התכנים שיועברו בהרצאות תלווה בעזרת קריאת מקורות רלוונטיים בקריאת החובה של הקורס. </w:t>
      </w:r>
    </w:p>
    <w:p w:rsidR="000A1E57" w:rsidRPr="005907AE" w:rsidRDefault="000A1E57" w:rsidP="000A1E57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הקורס ילווה בהתנסות בבניית מערך שיעור ואבחון של תלמיד.</w:t>
      </w:r>
    </w:p>
    <w:p w:rsidR="000A1E57" w:rsidRPr="00674832" w:rsidRDefault="000A1E57" w:rsidP="000A1E57">
      <w:pPr>
        <w:spacing w:line="360" w:lineRule="auto"/>
        <w:ind w:hanging="1"/>
        <w:rPr>
          <w:rFonts w:cs="David"/>
          <w:color w:val="FF0000"/>
          <w:sz w:val="24"/>
          <w:szCs w:val="24"/>
          <w:rtl/>
        </w:rPr>
      </w:pPr>
    </w:p>
    <w:p w:rsidR="000A1E57" w:rsidRDefault="000A1E57" w:rsidP="000A1E57">
      <w:pPr>
        <w:rPr>
          <w:rFonts w:cs="David"/>
          <w:b w:val="0"/>
          <w:bCs/>
          <w:sz w:val="24"/>
          <w:szCs w:val="24"/>
          <w:rtl/>
        </w:rPr>
      </w:pPr>
    </w:p>
    <w:p w:rsidR="000A1E57" w:rsidRPr="000D63B6" w:rsidRDefault="000A1E57" w:rsidP="000A1E57">
      <w:pPr>
        <w:rPr>
          <w:rFonts w:cs="David"/>
          <w:b w:val="0"/>
          <w:bCs/>
          <w:sz w:val="24"/>
          <w:szCs w:val="24"/>
          <w:rtl/>
        </w:rPr>
      </w:pPr>
      <w:r w:rsidRPr="000D63B6">
        <w:rPr>
          <w:rFonts w:cs="David" w:hint="cs"/>
          <w:b w:val="0"/>
          <w:bCs/>
          <w:sz w:val="24"/>
          <w:szCs w:val="24"/>
          <w:rtl/>
        </w:rPr>
        <w:t xml:space="preserve">תכני הקורס : </w:t>
      </w:r>
    </w:p>
    <w:p w:rsidR="000A1E57" w:rsidRDefault="000A1E57" w:rsidP="00D12560">
      <w:pPr>
        <w:spacing w:line="360" w:lineRule="auto"/>
        <w:ind w:hanging="1"/>
        <w:jc w:val="center"/>
        <w:rPr>
          <w:rFonts w:cs="David"/>
          <w:sz w:val="32"/>
          <w:szCs w:val="32"/>
          <w:rtl/>
        </w:rPr>
      </w:pP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61"/>
        <w:gridCol w:w="3545"/>
      </w:tblGrid>
      <w:tr w:rsidR="00BD1B50" w:rsidRPr="00DF1DA6" w:rsidTr="00D12560">
        <w:trPr>
          <w:tblHeader/>
          <w:jc w:val="center"/>
        </w:trPr>
        <w:tc>
          <w:tcPr>
            <w:tcW w:w="992" w:type="dxa"/>
          </w:tcPr>
          <w:p w:rsidR="00BD1B50" w:rsidRPr="002B337D" w:rsidRDefault="00BD1B50" w:rsidP="00977A9C">
            <w:pPr>
              <w:rPr>
                <w:rtl/>
              </w:rPr>
            </w:pPr>
            <w:r w:rsidRPr="002B337D">
              <w:rPr>
                <w:rFonts w:hint="cs"/>
                <w:rtl/>
              </w:rPr>
              <w:t>מספר שיעור</w:t>
            </w:r>
          </w:p>
        </w:tc>
        <w:tc>
          <w:tcPr>
            <w:tcW w:w="4961" w:type="dxa"/>
          </w:tcPr>
          <w:p w:rsidR="00BD1B50" w:rsidRPr="002B337D" w:rsidRDefault="00BD1B50" w:rsidP="00977A9C">
            <w:pPr>
              <w:rPr>
                <w:rtl/>
              </w:rPr>
            </w:pPr>
            <w:r w:rsidRPr="002B337D">
              <w:rPr>
                <w:rFonts w:hint="cs"/>
                <w:rtl/>
              </w:rPr>
              <w:t>נושא</w:t>
            </w:r>
          </w:p>
        </w:tc>
        <w:tc>
          <w:tcPr>
            <w:tcW w:w="3545" w:type="dxa"/>
          </w:tcPr>
          <w:p w:rsidR="00BD1B50" w:rsidRPr="002B337D" w:rsidRDefault="00BD1B50" w:rsidP="00977A9C">
            <w:pPr>
              <w:rPr>
                <w:rtl/>
              </w:rPr>
            </w:pPr>
            <w:r w:rsidRPr="002B337D">
              <w:rPr>
                <w:rFonts w:hint="cs"/>
                <w:rtl/>
              </w:rPr>
              <w:t xml:space="preserve">קריאה </w:t>
            </w:r>
          </w:p>
          <w:p w:rsidR="00BD1B50" w:rsidRPr="00DF1DA6" w:rsidRDefault="00BD1B50" w:rsidP="00977A9C">
            <w:pPr>
              <w:rPr>
                <w:rtl/>
              </w:rPr>
            </w:pPr>
          </w:p>
        </w:tc>
      </w:tr>
      <w:tr w:rsidR="00BD1B50" w:rsidRPr="009D1ED7" w:rsidTr="00D12560">
        <w:trPr>
          <w:jc w:val="center"/>
        </w:trPr>
        <w:tc>
          <w:tcPr>
            <w:tcW w:w="992" w:type="dxa"/>
          </w:tcPr>
          <w:p w:rsidR="00BD1B50" w:rsidRPr="009D1ED7" w:rsidRDefault="00BD1B50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4961" w:type="dxa"/>
          </w:tcPr>
          <w:p w:rsidR="00BD1B50" w:rsidRPr="009D1ED7" w:rsidRDefault="00BD1B50" w:rsidP="00977A9C">
            <w:pPr>
              <w:pStyle w:val="a3"/>
              <w:spacing w:line="360" w:lineRule="auto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ענפי המתמטיקה, מרכיבי הידע, מאפייני המתמטיקה ודרכי הערכתם.</w:t>
            </w:r>
          </w:p>
          <w:p w:rsidR="00BD1B50" w:rsidRPr="009D1ED7" w:rsidRDefault="00BD1B50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:rsidR="00BD1B50" w:rsidRPr="009D1ED7" w:rsidRDefault="00BD1B50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משרד החינוך, המזכירות הפדגוגית (2010).</w:t>
            </w:r>
          </w:p>
          <w:p w:rsidR="00BD1B50" w:rsidRPr="009D1ED7" w:rsidRDefault="00BD1B50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משרד החינוך התרבות והספורט, המזכירות הפדגוגית, האגף לתוכניות לימודים (תשס"ו).</w:t>
            </w:r>
          </w:p>
        </w:tc>
      </w:tr>
      <w:tr w:rsidR="00BD1B50" w:rsidRPr="009D1ED7" w:rsidTr="00D12560">
        <w:trPr>
          <w:jc w:val="center"/>
        </w:trPr>
        <w:tc>
          <w:tcPr>
            <w:tcW w:w="992" w:type="dxa"/>
          </w:tcPr>
          <w:p w:rsidR="00BD1B50" w:rsidRPr="009D1ED7" w:rsidRDefault="00B462A1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2</w:t>
            </w:r>
            <w:r w:rsidR="00BD1B50" w:rsidRPr="009D1ED7">
              <w:rPr>
                <w:rFonts w:ascii="David" w:hAnsi="David" w:cs="David"/>
                <w:sz w:val="24"/>
                <w:szCs w:val="24"/>
                <w:rtl/>
              </w:rPr>
              <w:t>-</w:t>
            </w:r>
            <w:r w:rsidRPr="009D1ED7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4961" w:type="dxa"/>
          </w:tcPr>
          <w:p w:rsidR="00BD1B50" w:rsidRPr="009D1ED7" w:rsidRDefault="00BD1B50" w:rsidP="00977A9C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הגדרת הלקות, מקורות לכישלון בחשבון, אפיוני הקושי.</w:t>
            </w:r>
          </w:p>
        </w:tc>
        <w:tc>
          <w:tcPr>
            <w:tcW w:w="3545" w:type="dxa"/>
          </w:tcPr>
          <w:p w:rsidR="00BD1B50" w:rsidRPr="009D1ED7" w:rsidRDefault="00BD1B50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הניק, א' ורובינשטיין, א' (2008).</w:t>
            </w:r>
          </w:p>
          <w:p w:rsidR="00BD1B50" w:rsidRPr="009D1ED7" w:rsidRDefault="00BD1B50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מרק-</w:t>
            </w:r>
            <w:proofErr w:type="spellStart"/>
            <w:r w:rsidRPr="009D1ED7">
              <w:rPr>
                <w:rFonts w:ascii="David" w:hAnsi="David" w:cs="David"/>
                <w:sz w:val="24"/>
                <w:szCs w:val="24"/>
                <w:rtl/>
              </w:rPr>
              <w:t>זגדון</w:t>
            </w:r>
            <w:proofErr w:type="spellEnd"/>
            <w:r w:rsidRPr="009D1ED7">
              <w:rPr>
                <w:rFonts w:ascii="David" w:hAnsi="David" w:cs="David"/>
                <w:sz w:val="24"/>
                <w:szCs w:val="24"/>
                <w:rtl/>
              </w:rPr>
              <w:t>, נ' (2011).</w:t>
            </w:r>
          </w:p>
        </w:tc>
      </w:tr>
      <w:tr w:rsidR="00B462A1" w:rsidRPr="009D1ED7" w:rsidTr="00D12560">
        <w:trPr>
          <w:jc w:val="center"/>
        </w:trPr>
        <w:tc>
          <w:tcPr>
            <w:tcW w:w="992" w:type="dxa"/>
          </w:tcPr>
          <w:p w:rsidR="00B462A1" w:rsidRPr="009D1ED7" w:rsidRDefault="00B462A1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4-5</w:t>
            </w:r>
          </w:p>
        </w:tc>
        <w:tc>
          <w:tcPr>
            <w:tcW w:w="4961" w:type="dxa"/>
          </w:tcPr>
          <w:p w:rsidR="00B462A1" w:rsidRPr="009D1ED7" w:rsidRDefault="00B462A1" w:rsidP="00977A9C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 xml:space="preserve">תחומי המוכנות לחשבון </w:t>
            </w:r>
            <w:r w:rsidRPr="009D1ED7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3545" w:type="dxa"/>
          </w:tcPr>
          <w:p w:rsidR="00B462A1" w:rsidRPr="009D1ED7" w:rsidRDefault="00B462A1" w:rsidP="00B462A1">
            <w:pPr>
              <w:spacing w:line="480" w:lineRule="auto"/>
              <w:ind w:right="72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אילני, ב' (2003).</w:t>
            </w:r>
          </w:p>
          <w:p w:rsidR="00B462A1" w:rsidRPr="009D1ED7" w:rsidRDefault="00B462A1" w:rsidP="00B462A1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1ED7">
              <w:rPr>
                <w:rFonts w:ascii="David" w:hAnsi="David" w:cs="David"/>
                <w:sz w:val="24"/>
                <w:szCs w:val="24"/>
                <w:rtl/>
              </w:rPr>
              <w:t>בוטראוורט</w:t>
            </w:r>
            <w:proofErr w:type="spellEnd"/>
            <w:r w:rsidRPr="009D1ED7">
              <w:rPr>
                <w:rFonts w:ascii="David" w:hAnsi="David" w:cs="David"/>
                <w:sz w:val="24"/>
                <w:szCs w:val="24"/>
                <w:rtl/>
              </w:rPr>
              <w:t>, ב' (2005).</w:t>
            </w:r>
          </w:p>
        </w:tc>
      </w:tr>
      <w:tr w:rsidR="00BD1B50" w:rsidRPr="009D1ED7" w:rsidTr="00D12560">
        <w:trPr>
          <w:jc w:val="center"/>
        </w:trPr>
        <w:tc>
          <w:tcPr>
            <w:tcW w:w="992" w:type="dxa"/>
          </w:tcPr>
          <w:p w:rsidR="00BD1B50" w:rsidRPr="009D1ED7" w:rsidRDefault="00B462A1" w:rsidP="00977A9C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4961" w:type="dxa"/>
          </w:tcPr>
          <w:p w:rsidR="00BD1B50" w:rsidRPr="009D1ED7" w:rsidRDefault="00B462A1" w:rsidP="00977A9C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המחשות בהוראה</w:t>
            </w:r>
          </w:p>
        </w:tc>
        <w:tc>
          <w:tcPr>
            <w:tcW w:w="3545" w:type="dxa"/>
          </w:tcPr>
          <w:p w:rsidR="00361B99" w:rsidRPr="009D1ED7" w:rsidRDefault="00361B99" w:rsidP="00361B9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תירוש, ד' (1995).</w:t>
            </w:r>
          </w:p>
          <w:p w:rsidR="00BD1B50" w:rsidRPr="009D1ED7" w:rsidRDefault="00361B99" w:rsidP="00361B99">
            <w:pPr>
              <w:spacing w:line="480" w:lineRule="auto"/>
              <w:ind w:right="72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9D1ED7">
              <w:rPr>
                <w:rFonts w:ascii="David" w:hAnsi="David" w:cs="David"/>
                <w:b w:val="0"/>
                <w:bCs/>
                <w:sz w:val="24"/>
                <w:szCs w:val="24"/>
              </w:rPr>
              <w:t>Burns, M. (2007).</w:t>
            </w:r>
          </w:p>
        </w:tc>
      </w:tr>
      <w:tr w:rsidR="00674832" w:rsidRPr="009D1ED7" w:rsidTr="00D12560">
        <w:trPr>
          <w:jc w:val="center"/>
        </w:trPr>
        <w:tc>
          <w:tcPr>
            <w:tcW w:w="992" w:type="dxa"/>
          </w:tcPr>
          <w:p w:rsidR="00674832" w:rsidRPr="009D1ED7" w:rsidRDefault="00674832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4961" w:type="dxa"/>
          </w:tcPr>
          <w:p w:rsidR="00674832" w:rsidRPr="009D1ED7" w:rsidRDefault="00674832" w:rsidP="00674832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גישות ושיטות בהוראת חשבון–</w:t>
            </w:r>
          </w:p>
          <w:p w:rsidR="00674832" w:rsidRPr="009D1ED7" w:rsidRDefault="00674832" w:rsidP="00A76DD7">
            <w:pPr>
              <w:pStyle w:val="a3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 xml:space="preserve"> שיקולים בבחירת התוכנית המתאימה.</w:t>
            </w:r>
          </w:p>
        </w:tc>
        <w:tc>
          <w:tcPr>
            <w:tcW w:w="3545" w:type="dxa"/>
          </w:tcPr>
          <w:p w:rsidR="00674832" w:rsidRPr="009D1ED7" w:rsidRDefault="00674832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תירוש, ד' (1995).</w:t>
            </w:r>
          </w:p>
        </w:tc>
      </w:tr>
      <w:tr w:rsidR="00674832" w:rsidRPr="009D1ED7" w:rsidTr="00D12560">
        <w:trPr>
          <w:jc w:val="center"/>
        </w:trPr>
        <w:tc>
          <w:tcPr>
            <w:tcW w:w="992" w:type="dxa"/>
          </w:tcPr>
          <w:p w:rsidR="00674832" w:rsidRPr="009D1ED7" w:rsidRDefault="00674832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8-9</w:t>
            </w:r>
          </w:p>
        </w:tc>
        <w:tc>
          <w:tcPr>
            <w:tcW w:w="4961" w:type="dxa"/>
          </w:tcPr>
          <w:p w:rsidR="00674832" w:rsidRPr="009D1ED7" w:rsidRDefault="00674832" w:rsidP="00674832">
            <w:pPr>
              <w:pStyle w:val="a3"/>
              <w:spacing w:after="200" w:line="360" w:lineRule="auto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המבנה העשרוני,  שיטת הפוזיציה.</w:t>
            </w:r>
          </w:p>
          <w:p w:rsidR="00674832" w:rsidRPr="009D1ED7" w:rsidRDefault="00674832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:rsidR="00674832" w:rsidRPr="009D1ED7" w:rsidRDefault="00674832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1ED7">
              <w:rPr>
                <w:rFonts w:ascii="David" w:hAnsi="David" w:cs="David"/>
                <w:sz w:val="24"/>
                <w:szCs w:val="24"/>
                <w:rtl/>
              </w:rPr>
              <w:t>טלמון</w:t>
            </w:r>
            <w:proofErr w:type="spellEnd"/>
            <w:r w:rsidRPr="009D1ED7">
              <w:rPr>
                <w:rFonts w:ascii="David" w:hAnsi="David" w:cs="David"/>
                <w:sz w:val="24"/>
                <w:szCs w:val="24"/>
                <w:rtl/>
              </w:rPr>
              <w:t xml:space="preserve">, ו', </w:t>
            </w:r>
            <w:proofErr w:type="spellStart"/>
            <w:r w:rsidRPr="009D1ED7">
              <w:rPr>
                <w:rFonts w:ascii="David" w:hAnsi="David" w:cs="David"/>
                <w:sz w:val="24"/>
                <w:szCs w:val="24"/>
                <w:rtl/>
              </w:rPr>
              <w:t>אלקין</w:t>
            </w:r>
            <w:proofErr w:type="spellEnd"/>
            <w:r w:rsidRPr="009D1ED7">
              <w:rPr>
                <w:rFonts w:ascii="David" w:hAnsi="David" w:cs="David"/>
                <w:sz w:val="24"/>
                <w:szCs w:val="24"/>
                <w:rtl/>
              </w:rPr>
              <w:t xml:space="preserve">, ש', סבר, ג' </w:t>
            </w:r>
            <w:proofErr w:type="spellStart"/>
            <w:r w:rsidRPr="009D1ED7">
              <w:rPr>
                <w:rFonts w:ascii="David" w:hAnsi="David" w:cs="David"/>
                <w:sz w:val="24"/>
                <w:szCs w:val="24"/>
                <w:rtl/>
              </w:rPr>
              <w:t>וסוידאן</w:t>
            </w:r>
            <w:proofErr w:type="spellEnd"/>
            <w:r w:rsidRPr="009D1ED7">
              <w:rPr>
                <w:rFonts w:ascii="David" w:hAnsi="David" w:cs="David"/>
                <w:sz w:val="24"/>
                <w:szCs w:val="24"/>
                <w:rtl/>
              </w:rPr>
              <w:t>, א' (2009).</w:t>
            </w:r>
          </w:p>
        </w:tc>
      </w:tr>
      <w:tr w:rsidR="00674832" w:rsidRPr="009D1ED7" w:rsidTr="00D12560">
        <w:trPr>
          <w:jc w:val="center"/>
        </w:trPr>
        <w:tc>
          <w:tcPr>
            <w:tcW w:w="992" w:type="dxa"/>
          </w:tcPr>
          <w:p w:rsidR="00674832" w:rsidRPr="009D1ED7" w:rsidRDefault="00674832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11--10</w:t>
            </w:r>
          </w:p>
        </w:tc>
        <w:tc>
          <w:tcPr>
            <w:tcW w:w="4961" w:type="dxa"/>
          </w:tcPr>
          <w:p w:rsidR="00674832" w:rsidRPr="009D1ED7" w:rsidRDefault="00B462A1" w:rsidP="00B462A1">
            <w:pPr>
              <w:spacing w:line="360" w:lineRule="auto"/>
              <w:ind w:left="423" w:hanging="423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סגנונות למידה במתמטיקה.</w:t>
            </w:r>
          </w:p>
        </w:tc>
        <w:tc>
          <w:tcPr>
            <w:tcW w:w="3545" w:type="dxa"/>
          </w:tcPr>
          <w:p w:rsidR="00674832" w:rsidRPr="009D1ED7" w:rsidRDefault="00B462A1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9D1ED7">
              <w:rPr>
                <w:rFonts w:ascii="David" w:hAnsi="David" w:cs="David"/>
                <w:sz w:val="24"/>
                <w:szCs w:val="24"/>
                <w:rtl/>
              </w:rPr>
              <w:t>סגליס</w:t>
            </w:r>
            <w:proofErr w:type="spellEnd"/>
            <w:r w:rsidRPr="009D1ED7">
              <w:rPr>
                <w:rFonts w:ascii="David" w:hAnsi="David" w:cs="David"/>
                <w:sz w:val="24"/>
                <w:szCs w:val="24"/>
                <w:rtl/>
              </w:rPr>
              <w:t>, ב' (2007).</w:t>
            </w:r>
          </w:p>
        </w:tc>
      </w:tr>
      <w:tr w:rsidR="00674832" w:rsidRPr="009D1ED7" w:rsidTr="00D12560">
        <w:trPr>
          <w:jc w:val="center"/>
        </w:trPr>
        <w:tc>
          <w:tcPr>
            <w:tcW w:w="992" w:type="dxa"/>
          </w:tcPr>
          <w:p w:rsidR="00674832" w:rsidRPr="009D1ED7" w:rsidRDefault="00674832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12-1</w:t>
            </w:r>
            <w:r w:rsidR="00B462A1" w:rsidRPr="009D1ED7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4961" w:type="dxa"/>
          </w:tcPr>
          <w:p w:rsidR="00674832" w:rsidRPr="009D1ED7" w:rsidRDefault="00674832" w:rsidP="00674832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 xml:space="preserve">   הוראה מתקנת</w:t>
            </w:r>
            <w:r w:rsidRPr="009D1ED7">
              <w:rPr>
                <w:rFonts w:ascii="David" w:hAnsi="David" w:cs="David"/>
                <w:sz w:val="24"/>
                <w:szCs w:val="24"/>
                <w:rtl/>
              </w:rPr>
              <w:tab/>
              <w:t xml:space="preserve">-  </w:t>
            </w:r>
          </w:p>
          <w:p w:rsidR="00674832" w:rsidRPr="009D1ED7" w:rsidRDefault="00674832" w:rsidP="00674832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 xml:space="preserve">   תנאים בסיסיים להצלחה</w:t>
            </w:r>
          </w:p>
          <w:p w:rsidR="00674832" w:rsidRPr="009D1ED7" w:rsidRDefault="00674832" w:rsidP="00361B99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 xml:space="preserve">   עקרונות דידקטיים</w:t>
            </w:r>
          </w:p>
        </w:tc>
        <w:tc>
          <w:tcPr>
            <w:tcW w:w="3545" w:type="dxa"/>
          </w:tcPr>
          <w:p w:rsidR="004917A7" w:rsidRPr="009D1ED7" w:rsidRDefault="004917A7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 xml:space="preserve">בן-יהודה, מ', </w:t>
            </w:r>
            <w:proofErr w:type="spellStart"/>
            <w:r w:rsidRPr="009D1ED7">
              <w:rPr>
                <w:rFonts w:ascii="David" w:hAnsi="David" w:cs="David"/>
                <w:sz w:val="24"/>
                <w:szCs w:val="24"/>
                <w:rtl/>
              </w:rPr>
              <w:t>וליכט</w:t>
            </w:r>
            <w:proofErr w:type="spellEnd"/>
            <w:r w:rsidRPr="009D1ED7">
              <w:rPr>
                <w:rFonts w:ascii="David" w:hAnsi="David" w:cs="David"/>
                <w:sz w:val="24"/>
                <w:szCs w:val="24"/>
                <w:rtl/>
              </w:rPr>
              <w:t>, פ' (2013).</w:t>
            </w:r>
          </w:p>
          <w:p w:rsidR="001A36EC" w:rsidRPr="009D1ED7" w:rsidRDefault="001A36EC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 xml:space="preserve">רון-עזרא, מ' </w:t>
            </w:r>
            <w:proofErr w:type="spellStart"/>
            <w:r w:rsidRPr="009D1ED7">
              <w:rPr>
                <w:rFonts w:ascii="David" w:hAnsi="David" w:cs="David"/>
                <w:sz w:val="24"/>
                <w:szCs w:val="24"/>
                <w:rtl/>
              </w:rPr>
              <w:t>ולוינסון</w:t>
            </w:r>
            <w:proofErr w:type="spellEnd"/>
            <w:r w:rsidRPr="009D1ED7">
              <w:rPr>
                <w:rFonts w:ascii="David" w:hAnsi="David" w:cs="David"/>
                <w:sz w:val="24"/>
                <w:szCs w:val="24"/>
                <w:rtl/>
              </w:rPr>
              <w:t>, א' (2019).</w:t>
            </w:r>
          </w:p>
          <w:p w:rsidR="00674832" w:rsidRPr="009D1ED7" w:rsidRDefault="00674832" w:rsidP="0067483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sz w:val="24"/>
                <w:szCs w:val="24"/>
                <w:rtl/>
              </w:rPr>
              <w:t>תירוש, ד' (1995).</w:t>
            </w:r>
          </w:p>
          <w:p w:rsidR="00674832" w:rsidRPr="009D1ED7" w:rsidRDefault="00674832" w:rsidP="00674832">
            <w:pPr>
              <w:rPr>
                <w:rFonts w:ascii="David" w:hAnsi="David" w:cs="David"/>
                <w:b w:val="0"/>
                <w:bCs/>
                <w:sz w:val="24"/>
                <w:szCs w:val="24"/>
                <w:rtl/>
              </w:rPr>
            </w:pPr>
            <w:r w:rsidRPr="009D1ED7">
              <w:rPr>
                <w:rFonts w:ascii="David" w:hAnsi="David" w:cs="David"/>
                <w:b w:val="0"/>
                <w:bCs/>
                <w:sz w:val="24"/>
                <w:szCs w:val="24"/>
              </w:rPr>
              <w:t>Burns, M. (2007).</w:t>
            </w:r>
          </w:p>
        </w:tc>
      </w:tr>
    </w:tbl>
    <w:p w:rsidR="00BD1B50" w:rsidRPr="009D1ED7" w:rsidRDefault="00BD1B50" w:rsidP="00BD1B50">
      <w:pPr>
        <w:tabs>
          <w:tab w:val="left" w:pos="423"/>
        </w:tabs>
        <w:spacing w:line="360" w:lineRule="auto"/>
        <w:ind w:left="423" w:hanging="423"/>
        <w:contextualSpacing/>
        <w:rPr>
          <w:rFonts w:ascii="David" w:hAnsi="David" w:cs="David"/>
          <w:b w:val="0"/>
          <w:bCs/>
          <w:sz w:val="24"/>
          <w:szCs w:val="24"/>
          <w:u w:val="single"/>
          <w:rtl/>
        </w:rPr>
      </w:pPr>
    </w:p>
    <w:p w:rsidR="00361B99" w:rsidRDefault="00361B99" w:rsidP="00BD1B50">
      <w:pPr>
        <w:tabs>
          <w:tab w:val="left" w:pos="423"/>
        </w:tabs>
        <w:spacing w:line="360" w:lineRule="auto"/>
        <w:ind w:left="423" w:hanging="423"/>
        <w:contextualSpacing/>
        <w:rPr>
          <w:rFonts w:cs="David"/>
          <w:b w:val="0"/>
          <w:bCs/>
          <w:sz w:val="24"/>
          <w:szCs w:val="24"/>
          <w:u w:val="single"/>
          <w:rtl/>
        </w:rPr>
      </w:pPr>
    </w:p>
    <w:p w:rsidR="00AF500B" w:rsidRDefault="00AF500B" w:rsidP="00AF500B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AF500B">
        <w:rPr>
          <w:rFonts w:cs="David"/>
          <w:sz w:val="24"/>
          <w:szCs w:val="24"/>
          <w:rtl/>
        </w:rPr>
        <w:t>אופי ההערכה והרכב הציון</w:t>
      </w:r>
    </w:p>
    <w:p w:rsidR="00BD1B50" w:rsidRDefault="00AF500B" w:rsidP="00AF500B">
      <w:pPr>
        <w:pStyle w:val="a3"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BD1B50">
        <w:rPr>
          <w:rFonts w:cs="David" w:hint="cs"/>
          <w:sz w:val="24"/>
          <w:szCs w:val="24"/>
          <w:rtl/>
        </w:rPr>
        <w:t xml:space="preserve"> מבחן מסכם </w:t>
      </w:r>
      <w:r w:rsidR="00BD1B50">
        <w:rPr>
          <w:rFonts w:cs="David"/>
          <w:sz w:val="24"/>
          <w:szCs w:val="24"/>
          <w:rtl/>
        </w:rPr>
        <w:t>–</w:t>
      </w:r>
      <w:r w:rsidR="00BD1B50">
        <w:rPr>
          <w:rFonts w:cs="David" w:hint="cs"/>
          <w:sz w:val="24"/>
          <w:szCs w:val="24"/>
          <w:rtl/>
        </w:rPr>
        <w:t xml:space="preserve"> 100%</w:t>
      </w:r>
    </w:p>
    <w:p w:rsidR="00BD1B50" w:rsidRDefault="00BD1B50" w:rsidP="00BD1B50">
      <w:pPr>
        <w:spacing w:line="360" w:lineRule="auto"/>
        <w:rPr>
          <w:rFonts w:cs="David"/>
          <w:sz w:val="24"/>
          <w:szCs w:val="24"/>
          <w:rtl/>
        </w:rPr>
      </w:pPr>
    </w:p>
    <w:p w:rsidR="00BD1B50" w:rsidRDefault="00BD1B50" w:rsidP="00BD1B50">
      <w:pPr>
        <w:spacing w:line="360" w:lineRule="auto"/>
        <w:ind w:left="423" w:hanging="423"/>
        <w:contextualSpacing/>
        <w:rPr>
          <w:rFonts w:ascii="Arial" w:hAnsi="Arial" w:cs="David"/>
          <w:b w:val="0"/>
          <w:bCs/>
          <w:sz w:val="24"/>
          <w:szCs w:val="24"/>
          <w:u w:val="single"/>
        </w:rPr>
      </w:pPr>
    </w:p>
    <w:p w:rsidR="00BD1B50" w:rsidRDefault="00BD1B50" w:rsidP="00BD1B50">
      <w:pPr>
        <w:spacing w:line="360" w:lineRule="auto"/>
        <w:ind w:left="423" w:hanging="423"/>
        <w:contextualSpacing/>
        <w:rPr>
          <w:rFonts w:ascii="Arial" w:hAnsi="Arial" w:cs="David"/>
          <w:b w:val="0"/>
          <w:bCs/>
          <w:sz w:val="24"/>
          <w:szCs w:val="24"/>
          <w:u w:val="single"/>
        </w:rPr>
      </w:pPr>
    </w:p>
    <w:p w:rsidR="00BD1B50" w:rsidRDefault="00BD1B50" w:rsidP="00BD1B50">
      <w:pPr>
        <w:spacing w:line="360" w:lineRule="auto"/>
        <w:ind w:left="423" w:hanging="423"/>
        <w:contextualSpacing/>
        <w:rPr>
          <w:rFonts w:ascii="Arial" w:hAnsi="Arial" w:cs="David"/>
          <w:b w:val="0"/>
          <w:bCs/>
          <w:sz w:val="24"/>
          <w:szCs w:val="24"/>
          <w:rtl/>
        </w:rPr>
      </w:pPr>
      <w:r>
        <w:rPr>
          <w:rFonts w:ascii="Arial" w:hAnsi="Arial" w:cs="David" w:hint="cs"/>
          <w:b w:val="0"/>
          <w:bCs/>
          <w:sz w:val="24"/>
          <w:szCs w:val="24"/>
          <w:u w:val="single"/>
          <w:rtl/>
        </w:rPr>
        <w:t>ביבליוגרפיה</w:t>
      </w:r>
    </w:p>
    <w:p w:rsidR="00BD1B50" w:rsidRDefault="00BD1B50" w:rsidP="00BD1B50">
      <w:pPr>
        <w:spacing w:line="360" w:lineRule="auto"/>
        <w:ind w:left="423" w:hanging="423"/>
        <w:contextualSpacing/>
        <w:rPr>
          <w:rFonts w:ascii="Arial" w:hAnsi="Arial" w:cs="David"/>
          <w:b w:val="0"/>
          <w:bCs/>
          <w:sz w:val="24"/>
          <w:szCs w:val="24"/>
          <w:rtl/>
        </w:rPr>
      </w:pPr>
      <w:r>
        <w:rPr>
          <w:rFonts w:ascii="Arial" w:hAnsi="Arial" w:cs="David" w:hint="cs"/>
          <w:b w:val="0"/>
          <w:bCs/>
          <w:sz w:val="24"/>
          <w:szCs w:val="24"/>
          <w:rtl/>
        </w:rPr>
        <w:t>חובה</w:t>
      </w:r>
    </w:p>
    <w:p w:rsidR="00BD1B50" w:rsidRPr="00CF3DC4" w:rsidRDefault="00BD1B50" w:rsidP="005150B2">
      <w:pPr>
        <w:overflowPunct/>
        <w:autoSpaceDE/>
        <w:autoSpaceDN/>
        <w:adjustRightInd/>
        <w:spacing w:line="360" w:lineRule="auto"/>
        <w:ind w:left="360" w:right="426"/>
        <w:textAlignment w:val="auto"/>
        <w:rPr>
          <w:rFonts w:ascii="David" w:hAnsi="David" w:cs="David"/>
          <w:sz w:val="24"/>
          <w:szCs w:val="24"/>
        </w:rPr>
      </w:pPr>
      <w:r w:rsidRPr="00CF3DC4">
        <w:rPr>
          <w:rFonts w:ascii="David" w:hAnsi="David" w:cs="David"/>
          <w:sz w:val="24"/>
          <w:szCs w:val="24"/>
          <w:rtl/>
        </w:rPr>
        <w:t xml:space="preserve">אילני, ב' (2003). לקראת לימוד מושג המספר. </w:t>
      </w:r>
      <w:r w:rsidRPr="00CF3DC4">
        <w:rPr>
          <w:rFonts w:ascii="David" w:hAnsi="David" w:cs="David"/>
          <w:b w:val="0"/>
          <w:bCs/>
          <w:sz w:val="24"/>
          <w:szCs w:val="24"/>
          <w:rtl/>
        </w:rPr>
        <w:t>מספר חזק 2000, 5.</w:t>
      </w:r>
      <w:r w:rsidRPr="00CF3DC4">
        <w:rPr>
          <w:rFonts w:ascii="David" w:hAnsi="David" w:cs="David"/>
          <w:sz w:val="24"/>
          <w:szCs w:val="24"/>
          <w:rtl/>
        </w:rPr>
        <w:t xml:space="preserve"> חיפה: אוניברסיטת חיפה.</w:t>
      </w:r>
    </w:p>
    <w:p w:rsidR="00BD1B50" w:rsidRPr="005150B2" w:rsidRDefault="00BD1B50" w:rsidP="005150B2">
      <w:pPr>
        <w:overflowPunct/>
        <w:autoSpaceDE/>
        <w:autoSpaceDN/>
        <w:adjustRightInd/>
        <w:spacing w:line="360" w:lineRule="auto"/>
        <w:ind w:left="360" w:right="720"/>
        <w:jc w:val="left"/>
        <w:textAlignment w:val="auto"/>
        <w:rPr>
          <w:rFonts w:ascii="David" w:hAnsi="David" w:cs="David"/>
          <w:sz w:val="24"/>
          <w:szCs w:val="24"/>
        </w:rPr>
      </w:pPr>
      <w:proofErr w:type="spellStart"/>
      <w:r w:rsidRPr="005150B2">
        <w:rPr>
          <w:rFonts w:ascii="David" w:hAnsi="David" w:cs="David"/>
          <w:sz w:val="24"/>
          <w:szCs w:val="24"/>
          <w:rtl/>
        </w:rPr>
        <w:t>בוטראוורט</w:t>
      </w:r>
      <w:proofErr w:type="spellEnd"/>
      <w:r w:rsidRPr="005150B2">
        <w:rPr>
          <w:rFonts w:ascii="David" w:hAnsi="David" w:cs="David"/>
          <w:sz w:val="24"/>
          <w:szCs w:val="24"/>
          <w:rtl/>
        </w:rPr>
        <w:t xml:space="preserve">, ב' (2005). התפתחות יכולות חשבוניות. </w:t>
      </w:r>
      <w:r w:rsidRPr="005150B2">
        <w:rPr>
          <w:rFonts w:ascii="David" w:hAnsi="David" w:cs="David"/>
          <w:b w:val="0"/>
          <w:bCs/>
          <w:sz w:val="24"/>
          <w:szCs w:val="24"/>
          <w:rtl/>
        </w:rPr>
        <w:t>פרספקטיבה , 35</w:t>
      </w:r>
      <w:r w:rsidRPr="005150B2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5150B2">
        <w:rPr>
          <w:rFonts w:ascii="David" w:hAnsi="David" w:cs="David"/>
          <w:sz w:val="24"/>
          <w:szCs w:val="24"/>
          <w:rtl/>
        </w:rPr>
        <w:t>עמ</w:t>
      </w:r>
      <w:proofErr w:type="spellEnd"/>
      <w:r w:rsidRPr="005150B2">
        <w:rPr>
          <w:rFonts w:ascii="David" w:hAnsi="David" w:cs="David"/>
          <w:sz w:val="24"/>
          <w:szCs w:val="24"/>
          <w:rtl/>
        </w:rPr>
        <w:t>': 53-27.</w:t>
      </w:r>
    </w:p>
    <w:p w:rsidR="00BD1B50" w:rsidRPr="00CF3DC4" w:rsidRDefault="00BD1B50" w:rsidP="005150B2">
      <w:pPr>
        <w:pStyle w:val="a6"/>
        <w:spacing w:line="360" w:lineRule="auto"/>
        <w:ind w:left="360" w:firstLine="0"/>
        <w:rPr>
          <w:rFonts w:ascii="David" w:hAnsi="David"/>
          <w:sz w:val="24"/>
          <w:rtl/>
        </w:rPr>
      </w:pPr>
      <w:r w:rsidRPr="00CF3DC4">
        <w:rPr>
          <w:rFonts w:ascii="David" w:hAnsi="David"/>
          <w:sz w:val="24"/>
          <w:rtl/>
        </w:rPr>
        <w:t xml:space="preserve">בן-יהודה, מ', וליכט, פ' (2013). יישום מודל להוראה מותאמת: הוראת קבוצות של לומדים עם קשיים במתמטיקה המשולבים בחינוך הרגיל. בתוך: ג' אבישר וש' רייטר (עורכות), </w:t>
      </w:r>
      <w:r w:rsidRPr="00CF3DC4">
        <w:rPr>
          <w:rFonts w:ascii="David" w:hAnsi="David"/>
          <w:b/>
          <w:bCs/>
          <w:sz w:val="24"/>
          <w:rtl/>
        </w:rPr>
        <w:t>שילובים: מהלכה למעשה</w:t>
      </w:r>
      <w:r w:rsidRPr="00CF3DC4">
        <w:rPr>
          <w:rFonts w:ascii="David" w:hAnsi="David"/>
          <w:sz w:val="24"/>
          <w:rtl/>
        </w:rPr>
        <w:t xml:space="preserve"> (עמ' 278-259)</w:t>
      </w:r>
      <w:r w:rsidRPr="00CF3DC4">
        <w:rPr>
          <w:rFonts w:ascii="David" w:hAnsi="David"/>
          <w:i/>
          <w:iCs/>
          <w:sz w:val="24"/>
          <w:rtl/>
        </w:rPr>
        <w:t xml:space="preserve">. </w:t>
      </w:r>
      <w:r w:rsidRPr="00CF3DC4">
        <w:rPr>
          <w:rFonts w:ascii="David" w:hAnsi="David"/>
          <w:sz w:val="24"/>
          <w:rtl/>
        </w:rPr>
        <w:t>חיפה: אחוה.</w:t>
      </w:r>
    </w:p>
    <w:p w:rsidR="00BD1B50" w:rsidRPr="005150B2" w:rsidRDefault="00BD1B50" w:rsidP="005150B2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David" w:hAnsi="David" w:cs="David"/>
          <w:sz w:val="24"/>
          <w:szCs w:val="24"/>
        </w:rPr>
      </w:pPr>
      <w:r w:rsidRPr="005150B2">
        <w:rPr>
          <w:rFonts w:ascii="David" w:hAnsi="David" w:cs="David"/>
          <w:sz w:val="24"/>
          <w:szCs w:val="24"/>
          <w:rtl/>
        </w:rPr>
        <w:t xml:space="preserve">הניק, א' ורובינשטיין, א' (2008). היבטים </w:t>
      </w:r>
      <w:proofErr w:type="spellStart"/>
      <w:r w:rsidRPr="005150B2">
        <w:rPr>
          <w:rFonts w:ascii="David" w:hAnsi="David" w:cs="David"/>
          <w:sz w:val="24"/>
          <w:szCs w:val="24"/>
          <w:rtl/>
        </w:rPr>
        <w:t>נוירוקוגניטיביים</w:t>
      </w:r>
      <w:proofErr w:type="spellEnd"/>
      <w:r w:rsidRPr="005150B2">
        <w:rPr>
          <w:rFonts w:ascii="David" w:hAnsi="David" w:cs="David"/>
          <w:sz w:val="24"/>
          <w:szCs w:val="24"/>
          <w:rtl/>
        </w:rPr>
        <w:t xml:space="preserve"> של דיסקלקוליה התפתחותית</w:t>
      </w:r>
      <w:r w:rsidRPr="005150B2">
        <w:rPr>
          <w:rFonts w:ascii="David" w:hAnsi="David" w:cs="David"/>
          <w:b w:val="0"/>
          <w:bCs/>
          <w:sz w:val="24"/>
          <w:szCs w:val="24"/>
          <w:rtl/>
        </w:rPr>
        <w:t>.</w:t>
      </w:r>
      <w:r w:rsidRPr="005150B2">
        <w:rPr>
          <w:rFonts w:ascii="David" w:hAnsi="David" w:cs="David"/>
          <w:b w:val="0"/>
          <w:bCs/>
          <w:sz w:val="24"/>
          <w:szCs w:val="24"/>
        </w:rPr>
        <w:t xml:space="preserve"> </w:t>
      </w:r>
      <w:hyperlink r:id="rId6" w:history="1">
        <w:proofErr w:type="spellStart"/>
        <w:r w:rsidRPr="005150B2">
          <w:rPr>
            <w:rStyle w:val="Hyperlink"/>
            <w:rFonts w:ascii="David" w:hAnsi="David" w:cs="David"/>
            <w:b w:val="0"/>
            <w:bCs/>
            <w:sz w:val="24"/>
            <w:szCs w:val="24"/>
            <w:rtl/>
          </w:rPr>
          <w:t>מדיסין</w:t>
        </w:r>
        <w:proofErr w:type="spellEnd"/>
        <w:r w:rsidRPr="005150B2">
          <w:rPr>
            <w:rStyle w:val="Hyperlink"/>
            <w:rFonts w:ascii="David" w:hAnsi="David" w:cs="David"/>
            <w:b w:val="0"/>
            <w:bCs/>
            <w:sz w:val="24"/>
            <w:szCs w:val="24"/>
            <w:rtl/>
          </w:rPr>
          <w:t xml:space="preserve"> – רפואת</w:t>
        </w:r>
        <w:r w:rsidRPr="005150B2">
          <w:rPr>
            <w:rStyle w:val="Hyperlink"/>
            <w:rFonts w:ascii="David" w:hAnsi="David" w:cs="David"/>
            <w:b w:val="0"/>
            <w:bCs/>
            <w:sz w:val="24"/>
            <w:szCs w:val="24"/>
          </w:rPr>
          <w:t xml:space="preserve"> </w:t>
        </w:r>
        <w:r w:rsidRPr="005150B2">
          <w:rPr>
            <w:rStyle w:val="Hyperlink"/>
            <w:rFonts w:ascii="David" w:hAnsi="David" w:cs="David"/>
            <w:b w:val="0"/>
            <w:bCs/>
            <w:sz w:val="24"/>
            <w:szCs w:val="24"/>
            <w:rtl/>
          </w:rPr>
          <w:t>ילדים,</w:t>
        </w:r>
      </w:hyperlink>
      <w:r w:rsidRPr="005150B2">
        <w:rPr>
          <w:rFonts w:ascii="David" w:hAnsi="David" w:cs="David"/>
          <w:b w:val="0"/>
          <w:bCs/>
          <w:sz w:val="24"/>
          <w:szCs w:val="24"/>
          <w:rtl/>
        </w:rPr>
        <w:t xml:space="preserve"> 6</w:t>
      </w:r>
      <w:r w:rsidRPr="005150B2">
        <w:rPr>
          <w:rFonts w:ascii="David" w:hAnsi="David" w:cs="David"/>
          <w:i/>
          <w:iCs/>
          <w:sz w:val="24"/>
          <w:szCs w:val="24"/>
          <w:rtl/>
        </w:rPr>
        <w:t>,</w:t>
      </w:r>
      <w:r w:rsidRPr="005150B2">
        <w:rPr>
          <w:rFonts w:ascii="David" w:hAnsi="David" w:cs="David"/>
          <w:sz w:val="24"/>
          <w:szCs w:val="24"/>
          <w:rtl/>
        </w:rPr>
        <w:t xml:space="preserve"> 42</w:t>
      </w:r>
      <w:r w:rsidRPr="005150B2">
        <w:rPr>
          <w:rFonts w:ascii="David" w:hAnsi="David" w:cs="David"/>
          <w:sz w:val="24"/>
          <w:szCs w:val="24"/>
          <w:rtl/>
        </w:rPr>
        <w:noBreakHyphen/>
        <w:t xml:space="preserve">46. </w:t>
      </w:r>
    </w:p>
    <w:p w:rsidR="00BD1B50" w:rsidRPr="005150B2" w:rsidRDefault="00BD1B50" w:rsidP="005150B2">
      <w:pPr>
        <w:overflowPunct/>
        <w:autoSpaceDE/>
        <w:autoSpaceDN/>
        <w:adjustRightInd/>
        <w:spacing w:line="360" w:lineRule="auto"/>
        <w:ind w:left="360" w:right="426"/>
        <w:jc w:val="left"/>
        <w:textAlignment w:val="auto"/>
        <w:rPr>
          <w:rFonts w:ascii="David" w:hAnsi="David" w:cs="David"/>
          <w:sz w:val="24"/>
          <w:szCs w:val="24"/>
        </w:rPr>
      </w:pPr>
      <w:proofErr w:type="spellStart"/>
      <w:r w:rsidRPr="005150B2">
        <w:rPr>
          <w:rFonts w:ascii="David" w:hAnsi="David" w:cs="David"/>
          <w:sz w:val="24"/>
          <w:szCs w:val="24"/>
          <w:rtl/>
        </w:rPr>
        <w:t>טלמון</w:t>
      </w:r>
      <w:proofErr w:type="spellEnd"/>
      <w:r w:rsidRPr="005150B2">
        <w:rPr>
          <w:rFonts w:ascii="David" w:hAnsi="David" w:cs="David"/>
          <w:sz w:val="24"/>
          <w:szCs w:val="24"/>
          <w:rtl/>
        </w:rPr>
        <w:t xml:space="preserve">, ו', </w:t>
      </w:r>
      <w:proofErr w:type="spellStart"/>
      <w:r w:rsidRPr="005150B2">
        <w:rPr>
          <w:rFonts w:ascii="David" w:hAnsi="David" w:cs="David"/>
          <w:sz w:val="24"/>
          <w:szCs w:val="24"/>
          <w:rtl/>
        </w:rPr>
        <w:t>אלקין</w:t>
      </w:r>
      <w:proofErr w:type="spellEnd"/>
      <w:r w:rsidRPr="005150B2">
        <w:rPr>
          <w:rFonts w:ascii="David" w:hAnsi="David" w:cs="David"/>
          <w:sz w:val="24"/>
          <w:szCs w:val="24"/>
          <w:rtl/>
        </w:rPr>
        <w:t xml:space="preserve">, ש', סבר, ג' </w:t>
      </w:r>
      <w:proofErr w:type="spellStart"/>
      <w:r w:rsidRPr="005150B2">
        <w:rPr>
          <w:rFonts w:ascii="David" w:hAnsi="David" w:cs="David"/>
          <w:sz w:val="24"/>
          <w:szCs w:val="24"/>
          <w:rtl/>
        </w:rPr>
        <w:t>וסוידאן</w:t>
      </w:r>
      <w:proofErr w:type="spellEnd"/>
      <w:r w:rsidRPr="005150B2">
        <w:rPr>
          <w:rFonts w:ascii="David" w:hAnsi="David" w:cs="David"/>
          <w:sz w:val="24"/>
          <w:szCs w:val="24"/>
          <w:rtl/>
        </w:rPr>
        <w:t xml:space="preserve">, א' (2009). צעדים ראשונים בדרך לאלגברה. </w:t>
      </w:r>
      <w:proofErr w:type="spellStart"/>
      <w:r w:rsidRPr="005150B2">
        <w:rPr>
          <w:rFonts w:ascii="David" w:hAnsi="David" w:cs="David"/>
          <w:b w:val="0"/>
          <w:bCs/>
          <w:sz w:val="24"/>
          <w:szCs w:val="24"/>
          <w:rtl/>
        </w:rPr>
        <w:t>על"ה</w:t>
      </w:r>
      <w:proofErr w:type="spellEnd"/>
      <w:r w:rsidRPr="005150B2">
        <w:rPr>
          <w:rFonts w:ascii="David" w:hAnsi="David" w:cs="David"/>
          <w:b w:val="0"/>
          <w:bCs/>
          <w:sz w:val="24"/>
          <w:szCs w:val="24"/>
          <w:rtl/>
        </w:rPr>
        <w:t>, 41</w:t>
      </w:r>
      <w:r w:rsidRPr="005150B2">
        <w:rPr>
          <w:rFonts w:ascii="David" w:hAnsi="David" w:cs="David"/>
          <w:sz w:val="24"/>
          <w:szCs w:val="24"/>
          <w:rtl/>
        </w:rPr>
        <w:t>, 6-11.</w:t>
      </w:r>
    </w:p>
    <w:p w:rsidR="00BD1B50" w:rsidRPr="005150B2" w:rsidRDefault="00BD1B50" w:rsidP="005150B2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David" w:hAnsi="David" w:cs="David"/>
          <w:sz w:val="24"/>
          <w:szCs w:val="24"/>
        </w:rPr>
      </w:pPr>
      <w:r w:rsidRPr="005150B2">
        <w:rPr>
          <w:rFonts w:ascii="David" w:hAnsi="David" w:cs="David"/>
          <w:sz w:val="24"/>
          <w:szCs w:val="24"/>
          <w:rtl/>
        </w:rPr>
        <w:t>מרק-</w:t>
      </w:r>
      <w:proofErr w:type="spellStart"/>
      <w:r w:rsidRPr="005150B2">
        <w:rPr>
          <w:rFonts w:ascii="David" w:hAnsi="David" w:cs="David"/>
          <w:sz w:val="24"/>
          <w:szCs w:val="24"/>
          <w:rtl/>
        </w:rPr>
        <w:t>זגדון</w:t>
      </w:r>
      <w:proofErr w:type="spellEnd"/>
      <w:r w:rsidRPr="005150B2">
        <w:rPr>
          <w:rFonts w:ascii="David" w:hAnsi="David" w:cs="David"/>
          <w:sz w:val="24"/>
          <w:szCs w:val="24"/>
          <w:rtl/>
        </w:rPr>
        <w:t xml:space="preserve">, נ' (2011). </w:t>
      </w:r>
      <w:hyperlink r:id="rId7" w:history="1">
        <w:r w:rsidRPr="005150B2">
          <w:rPr>
            <w:rStyle w:val="Hyperlink"/>
            <w:rFonts w:ascii="David" w:hAnsi="David" w:cs="David"/>
            <w:color w:val="auto"/>
            <w:sz w:val="24"/>
            <w:szCs w:val="24"/>
            <w:u w:val="none"/>
            <w:rtl/>
          </w:rPr>
          <w:t>דיסקלקוליה התפתחותית: גורמים ומאפיינים</w:t>
        </w:r>
      </w:hyperlink>
      <w:r w:rsidRPr="005150B2">
        <w:rPr>
          <w:rFonts w:ascii="David" w:hAnsi="David" w:cs="David"/>
          <w:sz w:val="24"/>
          <w:szCs w:val="24"/>
          <w:rtl/>
        </w:rPr>
        <w:t xml:space="preserve">. </w:t>
      </w:r>
      <w:r w:rsidRPr="005150B2">
        <w:rPr>
          <w:rFonts w:ascii="David" w:hAnsi="David" w:cs="David"/>
          <w:b w:val="0"/>
          <w:bCs/>
          <w:sz w:val="24"/>
          <w:szCs w:val="24"/>
          <w:rtl/>
        </w:rPr>
        <w:t>מספר חזק, 19</w:t>
      </w:r>
      <w:r w:rsidRPr="005150B2">
        <w:rPr>
          <w:rFonts w:ascii="David" w:hAnsi="David" w:cs="David"/>
          <w:sz w:val="24"/>
          <w:szCs w:val="24"/>
          <w:rtl/>
        </w:rPr>
        <w:t>, 10</w:t>
      </w:r>
      <w:r w:rsidRPr="005150B2">
        <w:rPr>
          <w:rFonts w:ascii="David" w:hAnsi="David" w:cs="David"/>
          <w:sz w:val="24"/>
          <w:szCs w:val="24"/>
          <w:rtl/>
        </w:rPr>
        <w:noBreakHyphen/>
        <w:t>14.</w:t>
      </w:r>
    </w:p>
    <w:p w:rsidR="00BD1B50" w:rsidRPr="005150B2" w:rsidRDefault="00BD1B50" w:rsidP="005150B2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David" w:hAnsi="David" w:cs="David"/>
          <w:sz w:val="24"/>
          <w:szCs w:val="24"/>
        </w:rPr>
      </w:pPr>
      <w:r w:rsidRPr="005150B2">
        <w:rPr>
          <w:rFonts w:ascii="David" w:hAnsi="David" w:cs="David"/>
          <w:sz w:val="24"/>
          <w:szCs w:val="24"/>
          <w:rtl/>
        </w:rPr>
        <w:t xml:space="preserve">משרד החינוך, המזכירות הפדגוגית (2010). </w:t>
      </w:r>
      <w:hyperlink r:id="rId8" w:history="1">
        <w:r w:rsidRPr="005150B2">
          <w:rPr>
            <w:rStyle w:val="Hyperlink"/>
            <w:rFonts w:ascii="David" w:hAnsi="David" w:cs="David"/>
            <w:b w:val="0"/>
            <w:bCs/>
            <w:i/>
            <w:iCs/>
            <w:color w:val="auto"/>
            <w:sz w:val="24"/>
            <w:szCs w:val="24"/>
            <w:u w:val="none"/>
            <w:rtl/>
          </w:rPr>
          <w:t>תכנית הלימודים במתמטיקה לחינוך הקדם יסודי</w:t>
        </w:r>
        <w:r w:rsidRPr="005150B2">
          <w:rPr>
            <w:rStyle w:val="Hyperlink"/>
            <w:rFonts w:ascii="David" w:hAnsi="David" w:cs="David"/>
            <w:b w:val="0"/>
            <w:bCs/>
            <w:color w:val="auto"/>
            <w:sz w:val="24"/>
            <w:szCs w:val="24"/>
            <w:u w:val="none"/>
            <w:rtl/>
          </w:rPr>
          <w:t>.</w:t>
        </w:r>
      </w:hyperlink>
      <w:r w:rsidRPr="005150B2">
        <w:rPr>
          <w:rFonts w:ascii="David" w:hAnsi="David" w:cs="David"/>
          <w:sz w:val="24"/>
          <w:szCs w:val="24"/>
          <w:rtl/>
        </w:rPr>
        <w:t xml:space="preserve"> ירושלים.</w:t>
      </w:r>
    </w:p>
    <w:p w:rsidR="00BD1B50" w:rsidRPr="00CF3DC4" w:rsidRDefault="00BD1B50" w:rsidP="005150B2">
      <w:pPr>
        <w:pStyle w:val="a3"/>
        <w:spacing w:line="360" w:lineRule="auto"/>
        <w:rPr>
          <w:rFonts w:ascii="David" w:hAnsi="David" w:cs="David"/>
          <w:sz w:val="24"/>
          <w:szCs w:val="24"/>
        </w:rPr>
      </w:pPr>
    </w:p>
    <w:p w:rsidR="00BD1B50" w:rsidRPr="005150B2" w:rsidRDefault="00BD1B50" w:rsidP="005150B2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David" w:hAnsi="David" w:cs="David"/>
          <w:sz w:val="24"/>
          <w:szCs w:val="24"/>
        </w:rPr>
      </w:pPr>
      <w:r w:rsidRPr="005150B2">
        <w:rPr>
          <w:rFonts w:ascii="David" w:hAnsi="David" w:cs="David"/>
          <w:sz w:val="24"/>
          <w:szCs w:val="24"/>
          <w:rtl/>
        </w:rPr>
        <w:t xml:space="preserve">משרד החינוך התרבות והספורט, המזכירות הפדגוגית, האגף לתוכניות לימודים (תשס"ו). </w:t>
      </w:r>
      <w:r w:rsidRPr="005150B2">
        <w:rPr>
          <w:rFonts w:ascii="David" w:hAnsi="David" w:cs="David"/>
          <w:b w:val="0"/>
          <w:bCs/>
          <w:i/>
          <w:iCs/>
          <w:sz w:val="24"/>
          <w:szCs w:val="24"/>
          <w:rtl/>
        </w:rPr>
        <w:t>תכנית לימודים במתמטיקה לכיתות א-ו</w:t>
      </w:r>
      <w:r w:rsidRPr="005150B2">
        <w:rPr>
          <w:rFonts w:ascii="David" w:hAnsi="David" w:cs="David"/>
          <w:b w:val="0"/>
          <w:bCs/>
          <w:sz w:val="24"/>
          <w:szCs w:val="24"/>
          <w:rtl/>
        </w:rPr>
        <w:t>.</w:t>
      </w:r>
      <w:r w:rsidRPr="005150B2">
        <w:rPr>
          <w:rFonts w:ascii="David" w:hAnsi="David" w:cs="David"/>
          <w:sz w:val="24"/>
          <w:szCs w:val="24"/>
          <w:rtl/>
        </w:rPr>
        <w:t xml:space="preserve"> ירושלים:</w:t>
      </w:r>
    </w:p>
    <w:p w:rsidR="00BD1B50" w:rsidRPr="005150B2" w:rsidRDefault="00C4698A" w:rsidP="005150B2">
      <w:pPr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hyperlink r:id="rId9" w:history="1">
        <w:r w:rsidR="00BD1B50" w:rsidRPr="005150B2">
          <w:rPr>
            <w:rStyle w:val="Hyperlink"/>
            <w:rFonts w:ascii="David" w:hAnsi="David" w:cs="David"/>
            <w:sz w:val="24"/>
            <w:szCs w:val="24"/>
            <w:rtl/>
          </w:rPr>
          <w:t>מסמך התכנית</w:t>
        </w:r>
      </w:hyperlink>
      <w:r w:rsidR="00BD1B50" w:rsidRPr="005150B2">
        <w:rPr>
          <w:rFonts w:ascii="David" w:hAnsi="David" w:cs="David"/>
          <w:sz w:val="24"/>
          <w:szCs w:val="24"/>
          <w:rtl/>
        </w:rPr>
        <w:t>.</w:t>
      </w:r>
    </w:p>
    <w:p w:rsidR="00BD1B50" w:rsidRPr="005150B2" w:rsidRDefault="00C4698A" w:rsidP="005150B2">
      <w:pPr>
        <w:spacing w:line="360" w:lineRule="auto"/>
        <w:ind w:left="1080"/>
        <w:rPr>
          <w:rFonts w:ascii="David" w:hAnsi="David" w:cs="David"/>
          <w:sz w:val="24"/>
          <w:szCs w:val="24"/>
        </w:rPr>
      </w:pPr>
      <w:hyperlink r:id="rId10" w:history="1">
        <w:r w:rsidR="00BD1B50" w:rsidRPr="005150B2">
          <w:rPr>
            <w:rStyle w:val="Hyperlink"/>
            <w:rFonts w:ascii="David" w:hAnsi="David" w:cs="David"/>
            <w:sz w:val="24"/>
            <w:szCs w:val="24"/>
            <w:rtl/>
          </w:rPr>
          <w:t>תכנית לימודים מקושרת</w:t>
        </w:r>
      </w:hyperlink>
      <w:r w:rsidR="00BD1B50" w:rsidRPr="005150B2">
        <w:rPr>
          <w:rFonts w:ascii="David" w:hAnsi="David" w:cs="David"/>
          <w:sz w:val="24"/>
          <w:szCs w:val="24"/>
          <w:rtl/>
        </w:rPr>
        <w:t>.</w:t>
      </w:r>
    </w:p>
    <w:p w:rsidR="00BD1B50" w:rsidRPr="005150B2" w:rsidRDefault="00C4698A" w:rsidP="005150B2">
      <w:pPr>
        <w:spacing w:line="360" w:lineRule="auto"/>
        <w:ind w:left="1080"/>
        <w:rPr>
          <w:rFonts w:ascii="David" w:hAnsi="David" w:cs="David"/>
          <w:sz w:val="24"/>
          <w:szCs w:val="24"/>
        </w:rPr>
      </w:pPr>
      <w:hyperlink r:id="rId11" w:history="1">
        <w:r w:rsidR="00BD1B50" w:rsidRPr="005150B2">
          <w:rPr>
            <w:rStyle w:val="Hyperlink"/>
            <w:rFonts w:ascii="David" w:hAnsi="David" w:cs="David"/>
            <w:sz w:val="24"/>
            <w:szCs w:val="24"/>
            <w:rtl/>
          </w:rPr>
          <w:t>ציוני דרך בתכנית</w:t>
        </w:r>
      </w:hyperlink>
      <w:r w:rsidR="00BD1B50" w:rsidRPr="005150B2">
        <w:rPr>
          <w:rFonts w:ascii="David" w:hAnsi="David" w:cs="David"/>
          <w:sz w:val="24"/>
          <w:szCs w:val="24"/>
          <w:rtl/>
        </w:rPr>
        <w:t>.</w:t>
      </w:r>
    </w:p>
    <w:p w:rsidR="00BD1B50" w:rsidRPr="005150B2" w:rsidRDefault="00C4698A" w:rsidP="005150B2">
      <w:pPr>
        <w:spacing w:line="360" w:lineRule="auto"/>
        <w:ind w:left="1080"/>
        <w:rPr>
          <w:rFonts w:ascii="David" w:hAnsi="David" w:cs="David"/>
          <w:i/>
          <w:iCs/>
          <w:sz w:val="24"/>
          <w:szCs w:val="24"/>
          <w:rtl/>
        </w:rPr>
      </w:pPr>
      <w:hyperlink r:id="rId12" w:history="1">
        <w:r w:rsidR="00BD1B50" w:rsidRPr="005150B2">
          <w:rPr>
            <w:rStyle w:val="Hyperlink"/>
            <w:rFonts w:ascii="David" w:hAnsi="David" w:cs="David"/>
            <w:i/>
            <w:iCs/>
            <w:sz w:val="24"/>
            <w:szCs w:val="24"/>
            <w:rtl/>
          </w:rPr>
          <w:t>תכנית הלימודים במתמטיקה לכיתות ז-ט, משרד החינוך, המזכירות הפדגוגית</w:t>
        </w:r>
      </w:hyperlink>
      <w:r w:rsidR="00BD1B50" w:rsidRPr="005150B2">
        <w:rPr>
          <w:rFonts w:ascii="David" w:hAnsi="David" w:cs="David"/>
          <w:i/>
          <w:iCs/>
          <w:sz w:val="24"/>
          <w:szCs w:val="24"/>
          <w:rtl/>
        </w:rPr>
        <w:t>.</w:t>
      </w:r>
    </w:p>
    <w:p w:rsidR="00CF3DC4" w:rsidRDefault="00CF3DC4" w:rsidP="005150B2">
      <w:pPr>
        <w:pStyle w:val="a6"/>
        <w:spacing w:line="360" w:lineRule="auto"/>
        <w:ind w:left="360" w:firstLine="0"/>
        <w:rPr>
          <w:rFonts w:ascii="David" w:hAnsi="David"/>
          <w:sz w:val="24"/>
        </w:rPr>
      </w:pPr>
      <w:r w:rsidRPr="00CF3DC4">
        <w:rPr>
          <w:rFonts w:ascii="David" w:hAnsi="David"/>
          <w:sz w:val="24"/>
          <w:rtl/>
        </w:rPr>
        <w:t xml:space="preserve">סגליס, ב' (2007). </w:t>
      </w:r>
      <w:r w:rsidRPr="00CF3DC4">
        <w:rPr>
          <w:rFonts w:ascii="David" w:hAnsi="David"/>
          <w:b/>
          <w:bCs/>
          <w:sz w:val="24"/>
          <w:rtl/>
        </w:rPr>
        <w:t xml:space="preserve">טיפול בתלמידים המתקשים במתמטיקה בבית הספר היסודי. </w:t>
      </w:r>
      <w:r w:rsidRPr="00CF3DC4">
        <w:rPr>
          <w:rFonts w:ascii="David" w:hAnsi="David"/>
          <w:sz w:val="24"/>
          <w:rtl/>
        </w:rPr>
        <w:t>מרכז המורים הארצי למתמטיקה בחינוך היסודי. פסג"ה כפר-סבא.</w:t>
      </w:r>
    </w:p>
    <w:p w:rsidR="00511DA6" w:rsidRPr="00CF3DC4" w:rsidRDefault="00511DA6" w:rsidP="005150B2">
      <w:pPr>
        <w:pStyle w:val="a6"/>
        <w:spacing w:line="360" w:lineRule="auto"/>
        <w:ind w:left="360" w:firstLine="0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lastRenderedPageBreak/>
        <w:t xml:space="preserve">רון-עזרא, מ' ולוינסון, א' (2019). </w:t>
      </w:r>
      <w:r w:rsidRPr="00511DA6">
        <w:rPr>
          <w:rFonts w:ascii="David" w:hAnsi="David" w:hint="cs"/>
          <w:b/>
          <w:bCs/>
          <w:sz w:val="24"/>
          <w:rtl/>
        </w:rPr>
        <w:t>תלמידי חינוך מיוחד בכיתות ב'-ג' המשולבים בכיתות רגילות פותרים ומסבירים פתרונות לתרגילי חיבור</w:t>
      </w:r>
      <w:r w:rsidR="004917A7">
        <w:rPr>
          <w:rFonts w:ascii="David" w:hAnsi="David" w:hint="cs"/>
          <w:b/>
          <w:bCs/>
          <w:sz w:val="24"/>
          <w:rtl/>
        </w:rPr>
        <w:t xml:space="preserve"> (עמ')</w:t>
      </w:r>
      <w:r w:rsidRPr="00511DA6">
        <w:rPr>
          <w:rFonts w:ascii="David" w:hAnsi="David" w:hint="cs"/>
          <w:b/>
          <w:bCs/>
          <w:sz w:val="24"/>
          <w:rtl/>
        </w:rPr>
        <w:t xml:space="preserve">. </w:t>
      </w:r>
      <w:bookmarkStart w:id="0" w:name="_Hlk35211361"/>
      <w:r w:rsidRPr="004917A7">
        <w:rPr>
          <w:rFonts w:ascii="David" w:hAnsi="David" w:hint="cs"/>
          <w:sz w:val="24"/>
          <w:rtl/>
        </w:rPr>
        <w:t>כנס ירושלים השמיני לחינוך מתמטי.</w:t>
      </w:r>
      <w:bookmarkEnd w:id="0"/>
    </w:p>
    <w:p w:rsidR="00BD1B50" w:rsidRPr="005150B2" w:rsidRDefault="00BD1B50" w:rsidP="005150B2">
      <w:pPr>
        <w:overflowPunct/>
        <w:autoSpaceDE/>
        <w:autoSpaceDN/>
        <w:adjustRightInd/>
        <w:spacing w:line="360" w:lineRule="auto"/>
        <w:ind w:left="360" w:right="426"/>
        <w:textAlignment w:val="auto"/>
        <w:rPr>
          <w:rFonts w:ascii="David" w:hAnsi="David" w:cs="David"/>
          <w:sz w:val="24"/>
          <w:szCs w:val="24"/>
        </w:rPr>
      </w:pPr>
      <w:r w:rsidRPr="005150B2">
        <w:rPr>
          <w:rFonts w:ascii="David" w:hAnsi="David" w:cs="David"/>
          <w:sz w:val="24"/>
          <w:szCs w:val="24"/>
          <w:rtl/>
        </w:rPr>
        <w:t xml:space="preserve">תירוש, ד' (1995). עקביות מתמטית של תלמידים מיון, מקורות ואסטרטגיות טיפול. בתוך ד' חן (עורך), </w:t>
      </w:r>
      <w:r w:rsidRPr="005150B2">
        <w:rPr>
          <w:rFonts w:ascii="David" w:hAnsi="David" w:cs="David"/>
          <w:b w:val="0"/>
          <w:bCs/>
          <w:sz w:val="24"/>
          <w:szCs w:val="24"/>
          <w:rtl/>
        </w:rPr>
        <w:t>החינוך לקראת המאה ה-21</w:t>
      </w:r>
      <w:r w:rsidRPr="005150B2">
        <w:rPr>
          <w:rFonts w:ascii="David" w:hAnsi="David" w:cs="David"/>
          <w:sz w:val="24"/>
          <w:szCs w:val="24"/>
          <w:rtl/>
        </w:rPr>
        <w:t xml:space="preserve"> (עמ' 239-344). תל-אביב: רמות.</w:t>
      </w:r>
    </w:p>
    <w:p w:rsidR="00BD1B50" w:rsidRPr="005150B2" w:rsidRDefault="00BD1B50" w:rsidP="005150B2">
      <w:pPr>
        <w:overflowPunct/>
        <w:autoSpaceDE/>
        <w:autoSpaceDN/>
        <w:bidi w:val="0"/>
        <w:adjustRightInd/>
        <w:spacing w:line="360" w:lineRule="auto"/>
        <w:ind w:left="360" w:right="423"/>
        <w:textAlignment w:val="auto"/>
        <w:rPr>
          <w:b w:val="0"/>
          <w:bCs/>
          <w:sz w:val="24"/>
          <w:rtl/>
        </w:rPr>
      </w:pPr>
      <w:r w:rsidRPr="005150B2">
        <w:rPr>
          <w:b w:val="0"/>
          <w:bCs/>
          <w:sz w:val="24"/>
        </w:rPr>
        <w:t xml:space="preserve">Burns, M. (2007). Nine ways to catch kids up: How do we help foundering students who lack basic math concepts. </w:t>
      </w:r>
      <w:r w:rsidRPr="005150B2">
        <w:rPr>
          <w:b w:val="0"/>
          <w:bCs/>
          <w:i/>
          <w:iCs/>
          <w:sz w:val="24"/>
        </w:rPr>
        <w:t>Educational Leadership, 65</w:t>
      </w:r>
      <w:r w:rsidRPr="005150B2">
        <w:rPr>
          <w:b w:val="0"/>
          <w:bCs/>
          <w:sz w:val="24"/>
        </w:rPr>
        <w:t xml:space="preserve"> (3), 21-16. </w:t>
      </w:r>
    </w:p>
    <w:p w:rsidR="00BD1B50" w:rsidRPr="00CF3DC4" w:rsidRDefault="00BD1B50" w:rsidP="00BD1B50">
      <w:pPr>
        <w:spacing w:line="360" w:lineRule="auto"/>
        <w:contextualSpacing/>
        <w:rPr>
          <w:rFonts w:cs="David"/>
          <w:b w:val="0"/>
          <w:bCs/>
          <w:sz w:val="24"/>
          <w:szCs w:val="24"/>
          <w:rtl/>
        </w:rPr>
      </w:pPr>
    </w:p>
    <w:p w:rsidR="00BD1B50" w:rsidRDefault="00BD1B50" w:rsidP="00BD1B50">
      <w:pPr>
        <w:spacing w:line="360" w:lineRule="auto"/>
        <w:ind w:left="423" w:hanging="423"/>
        <w:contextualSpacing/>
        <w:rPr>
          <w:rFonts w:cs="David"/>
          <w:b w:val="0"/>
          <w:bCs/>
          <w:sz w:val="24"/>
          <w:szCs w:val="24"/>
          <w:rtl/>
        </w:rPr>
      </w:pPr>
      <w:r>
        <w:rPr>
          <w:rFonts w:cs="David" w:hint="cs"/>
          <w:b w:val="0"/>
          <w:bCs/>
          <w:sz w:val="24"/>
          <w:szCs w:val="24"/>
          <w:rtl/>
        </w:rPr>
        <w:t>רשות</w:t>
      </w:r>
    </w:p>
    <w:p w:rsidR="00BD1B50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גביש, ת' (1994). להבין מתמטיקה ולהצליח במקצועות האחרים. בתוך ת' גביש (עורכת), </w:t>
      </w:r>
      <w:r>
        <w:rPr>
          <w:rFonts w:ascii="Arial" w:hAnsi="Arial" w:cs="David" w:hint="cs"/>
          <w:b w:val="0"/>
          <w:bCs/>
          <w:sz w:val="24"/>
          <w:szCs w:val="24"/>
          <w:rtl/>
        </w:rPr>
        <w:t xml:space="preserve">לחשוב נכון מהגן עד התיכון </w:t>
      </w:r>
      <w:r>
        <w:rPr>
          <w:rFonts w:ascii="Arial" w:hAnsi="Arial" w:cs="David" w:hint="cs"/>
          <w:sz w:val="24"/>
          <w:szCs w:val="24"/>
          <w:rtl/>
        </w:rPr>
        <w:t xml:space="preserve">(עמ' 100-83). </w:t>
      </w:r>
      <w:proofErr w:type="spellStart"/>
      <w:r>
        <w:rPr>
          <w:rFonts w:ascii="Arial" w:hAnsi="Arial" w:cs="David" w:hint="cs"/>
          <w:sz w:val="24"/>
          <w:szCs w:val="24"/>
          <w:rtl/>
        </w:rPr>
        <w:t>קרית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ביאליק: אח.</w:t>
      </w:r>
    </w:p>
    <w:p w:rsidR="00BD1B50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גרון, ת' (2009). תרומתן של בעיות בלתי שגרתיות. </w:t>
      </w:r>
      <w:r>
        <w:rPr>
          <w:rStyle w:val="a5"/>
          <w:rFonts w:ascii="Arial" w:hAnsi="Arial" w:cs="David" w:hint="cs"/>
          <w:b w:val="0"/>
          <w:bCs/>
          <w:i w:val="0"/>
          <w:iCs w:val="0"/>
          <w:sz w:val="24"/>
          <w:szCs w:val="24"/>
          <w:rtl/>
        </w:rPr>
        <w:t>מספר חזק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>
        <w:rPr>
          <w:rFonts w:ascii="Arial" w:hAnsi="Arial" w:cs="David" w:hint="cs"/>
          <w:b w:val="0"/>
          <w:bCs/>
          <w:sz w:val="24"/>
          <w:szCs w:val="24"/>
          <w:rtl/>
        </w:rPr>
        <w:t>17</w:t>
      </w:r>
      <w:r>
        <w:rPr>
          <w:rFonts w:ascii="Arial" w:hAnsi="Arial" w:cs="David" w:hint="cs"/>
          <w:sz w:val="24"/>
          <w:szCs w:val="24"/>
          <w:rtl/>
        </w:rPr>
        <w:t>, 48-42.</w:t>
      </w:r>
    </w:p>
    <w:p w:rsidR="00BD1B50" w:rsidRPr="00D90B4B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</w:rPr>
      </w:pPr>
      <w:r w:rsidRPr="00D90B4B">
        <w:rPr>
          <w:rFonts w:cs="David" w:hint="cs"/>
          <w:sz w:val="24"/>
          <w:szCs w:val="24"/>
          <w:rtl/>
        </w:rPr>
        <w:t>דוד, ח' (2007). שימוש בשגיאות של תלמידים כמנוף לשיפור הלמידה ולהעמקת הידע המתמטי</w:t>
      </w:r>
      <w:r w:rsidRPr="00D90B4B">
        <w:rPr>
          <w:rFonts w:cs="David" w:hint="cs"/>
          <w:b w:val="0"/>
          <w:bCs/>
          <w:sz w:val="24"/>
          <w:szCs w:val="24"/>
          <w:rtl/>
        </w:rPr>
        <w:t xml:space="preserve">. </w:t>
      </w:r>
      <w:proofErr w:type="spellStart"/>
      <w:r w:rsidRPr="00D90B4B">
        <w:rPr>
          <w:rFonts w:cs="David" w:hint="cs"/>
          <w:b w:val="0"/>
          <w:bCs/>
          <w:sz w:val="24"/>
          <w:szCs w:val="24"/>
          <w:rtl/>
        </w:rPr>
        <w:t>על"ה</w:t>
      </w:r>
      <w:proofErr w:type="spellEnd"/>
      <w:r w:rsidRPr="00D90B4B">
        <w:rPr>
          <w:rFonts w:cs="David" w:hint="cs"/>
          <w:b w:val="0"/>
          <w:bCs/>
          <w:sz w:val="24"/>
          <w:szCs w:val="24"/>
          <w:rtl/>
        </w:rPr>
        <w:t>, 37</w:t>
      </w:r>
      <w:r w:rsidRPr="00D90B4B">
        <w:rPr>
          <w:rFonts w:cs="David" w:hint="cs"/>
          <w:i/>
          <w:iCs/>
          <w:sz w:val="24"/>
          <w:szCs w:val="24"/>
          <w:rtl/>
        </w:rPr>
        <w:t xml:space="preserve">, </w:t>
      </w:r>
      <w:r w:rsidRPr="00D90B4B">
        <w:rPr>
          <w:rFonts w:cs="David" w:hint="cs"/>
          <w:sz w:val="24"/>
          <w:szCs w:val="24"/>
          <w:rtl/>
        </w:rPr>
        <w:t xml:space="preserve">81-93. </w:t>
      </w:r>
    </w:p>
    <w:p w:rsidR="00BD1B50" w:rsidRPr="00D90B4B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 </w:t>
      </w:r>
      <w:proofErr w:type="spellStart"/>
      <w:r w:rsidRPr="00D90B4B">
        <w:rPr>
          <w:rFonts w:cs="David" w:hint="cs"/>
          <w:sz w:val="24"/>
          <w:szCs w:val="24"/>
          <w:rtl/>
        </w:rPr>
        <w:t>לינצ'בסקי</w:t>
      </w:r>
      <w:proofErr w:type="spellEnd"/>
      <w:r w:rsidRPr="00D90B4B">
        <w:rPr>
          <w:rFonts w:cs="David" w:hint="cs"/>
          <w:sz w:val="24"/>
          <w:szCs w:val="24"/>
          <w:rtl/>
        </w:rPr>
        <w:t xml:space="preserve">, ל' (2007). טיפול במתקשים – מניין ולאן. </w:t>
      </w:r>
      <w:proofErr w:type="spellStart"/>
      <w:r w:rsidRPr="00D90B4B">
        <w:rPr>
          <w:rFonts w:cs="David" w:hint="cs"/>
          <w:b w:val="0"/>
          <w:bCs/>
          <w:sz w:val="24"/>
          <w:szCs w:val="24"/>
          <w:rtl/>
        </w:rPr>
        <w:t>על"ה</w:t>
      </w:r>
      <w:proofErr w:type="spellEnd"/>
      <w:r w:rsidRPr="00D90B4B">
        <w:rPr>
          <w:rFonts w:cs="David" w:hint="cs"/>
          <w:b w:val="0"/>
          <w:bCs/>
          <w:sz w:val="24"/>
          <w:szCs w:val="24"/>
          <w:rtl/>
        </w:rPr>
        <w:t>, 37</w:t>
      </w:r>
      <w:r w:rsidRPr="00D90B4B">
        <w:rPr>
          <w:rFonts w:cs="David" w:hint="cs"/>
          <w:sz w:val="24"/>
          <w:szCs w:val="24"/>
          <w:rtl/>
        </w:rPr>
        <w:t xml:space="preserve"> ,30-34 </w:t>
      </w:r>
      <w:r>
        <w:rPr>
          <w:rFonts w:cs="David" w:hint="cs"/>
          <w:sz w:val="24"/>
          <w:szCs w:val="24"/>
          <w:rtl/>
        </w:rPr>
        <w:t>.</w:t>
      </w:r>
    </w:p>
    <w:p w:rsidR="00BD1B50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מיילס, ט' ומיילס, א' (1994). </w:t>
      </w:r>
      <w:proofErr w:type="spellStart"/>
      <w:r>
        <w:rPr>
          <w:rFonts w:ascii="Arial" w:hAnsi="Arial" w:cs="David" w:hint="cs"/>
          <w:b w:val="0"/>
          <w:bCs/>
          <w:sz w:val="24"/>
          <w:szCs w:val="24"/>
          <w:rtl/>
        </w:rPr>
        <w:t>דיסלקסיה</w:t>
      </w:r>
      <w:proofErr w:type="spellEnd"/>
      <w:r>
        <w:rPr>
          <w:rFonts w:ascii="Arial" w:hAnsi="Arial" w:cs="David" w:hint="cs"/>
          <w:b w:val="0"/>
          <w:bCs/>
          <w:sz w:val="24"/>
          <w:szCs w:val="24"/>
          <w:rtl/>
        </w:rPr>
        <w:t xml:space="preserve"> ומתמטיקה</w:t>
      </w:r>
      <w:r>
        <w:rPr>
          <w:rFonts w:ascii="Arial" w:hAnsi="Arial" w:cs="David" w:hint="cs"/>
          <w:sz w:val="24"/>
          <w:szCs w:val="24"/>
          <w:rtl/>
        </w:rPr>
        <w:t xml:space="preserve">. </w:t>
      </w:r>
      <w:proofErr w:type="spellStart"/>
      <w:r>
        <w:rPr>
          <w:rFonts w:ascii="Arial" w:hAnsi="Arial" w:cs="David" w:hint="cs"/>
          <w:sz w:val="24"/>
          <w:szCs w:val="24"/>
          <w:rtl/>
        </w:rPr>
        <w:t>קרית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ביאליק: אח.</w:t>
      </w:r>
    </w:p>
    <w:p w:rsidR="00BD1B50" w:rsidRDefault="00BD1B50" w:rsidP="000A3A4A">
      <w:pPr>
        <w:overflowPunct/>
        <w:autoSpaceDE/>
        <w:autoSpaceDN/>
        <w:adjustRightInd/>
        <w:spacing w:line="360" w:lineRule="auto"/>
        <w:ind w:right="426"/>
        <w:contextualSpacing/>
        <w:textAlignment w:val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סגל, ד' (1992). השפעת תהליכים </w:t>
      </w:r>
      <w:proofErr w:type="spellStart"/>
      <w:r>
        <w:rPr>
          <w:rFonts w:ascii="Arial" w:hAnsi="Arial" w:cs="David" w:hint="cs"/>
          <w:sz w:val="24"/>
          <w:szCs w:val="24"/>
          <w:rtl/>
        </w:rPr>
        <w:t>קוגנטיביים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ומטה-</w:t>
      </w:r>
      <w:proofErr w:type="spellStart"/>
      <w:r>
        <w:rPr>
          <w:rFonts w:ascii="Arial" w:hAnsi="Arial" w:cs="David" w:hint="cs"/>
          <w:sz w:val="24"/>
          <w:szCs w:val="24"/>
          <w:rtl/>
        </w:rPr>
        <w:t>קוגנטיביים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על ההתערבות הדידקטית בעיבוד תכנים מתמטיים אצל ילדים בעלי צרכים מיוחדים. </w:t>
      </w:r>
      <w:r>
        <w:rPr>
          <w:rFonts w:ascii="Arial" w:hAnsi="Arial" w:cs="David" w:hint="cs"/>
          <w:b w:val="0"/>
          <w:bCs/>
          <w:sz w:val="24"/>
          <w:szCs w:val="24"/>
          <w:rtl/>
        </w:rPr>
        <w:t>סוגיות בחינוך מיוחד ובשיקום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>
        <w:rPr>
          <w:rFonts w:ascii="Arial" w:hAnsi="Arial" w:cs="David" w:hint="cs"/>
          <w:b w:val="0"/>
          <w:bCs/>
          <w:sz w:val="24"/>
          <w:szCs w:val="24"/>
          <w:rtl/>
        </w:rPr>
        <w:t>7</w:t>
      </w:r>
      <w:r>
        <w:rPr>
          <w:rFonts w:ascii="Arial" w:hAnsi="Arial" w:cs="David" w:hint="cs"/>
          <w:sz w:val="24"/>
          <w:szCs w:val="24"/>
          <w:rtl/>
        </w:rPr>
        <w:t xml:space="preserve"> (2), 58-45.</w:t>
      </w:r>
    </w:p>
    <w:p w:rsidR="00BD1B50" w:rsidRPr="004001BC" w:rsidRDefault="00BD1B50" w:rsidP="000A3A4A">
      <w:pPr>
        <w:overflowPunct/>
        <w:autoSpaceDE/>
        <w:autoSpaceDN/>
        <w:adjustRightInd/>
        <w:spacing w:line="360" w:lineRule="auto"/>
        <w:ind w:right="426"/>
        <w:contextualSpacing/>
        <w:textAlignment w:val="auto"/>
        <w:rPr>
          <w:rFonts w:ascii="Arial" w:hAnsi="Arial" w:cs="David"/>
          <w:sz w:val="24"/>
          <w:szCs w:val="24"/>
        </w:rPr>
      </w:pPr>
      <w:r w:rsidRPr="004001BC">
        <w:rPr>
          <w:rFonts w:ascii="Arial" w:hAnsi="Arial" w:cs="David" w:hint="cs"/>
          <w:szCs w:val="24"/>
          <w:rtl/>
        </w:rPr>
        <w:t xml:space="preserve">סגל, ד' (2001). </w:t>
      </w:r>
      <w:r w:rsidRPr="004001BC">
        <w:rPr>
          <w:rFonts w:ascii="Arial" w:hAnsi="Arial" w:cs="David" w:hint="cs"/>
          <w:b w:val="0"/>
          <w:bCs/>
          <w:szCs w:val="24"/>
          <w:rtl/>
        </w:rPr>
        <w:t xml:space="preserve"> אבחון מושג המספר- מוכנות לחשבון לקראת כתה א' </w:t>
      </w:r>
      <w:r w:rsidRPr="004001BC">
        <w:rPr>
          <w:rFonts w:ascii="Arial" w:hAnsi="Arial" w:cs="David" w:hint="cs"/>
          <w:szCs w:val="24"/>
          <w:rtl/>
        </w:rPr>
        <w:t>(מערכת אביזרים וטבלה מצטברת), מכללת גורדון לחינוך, אח.</w:t>
      </w:r>
    </w:p>
    <w:p w:rsidR="00BD1B50" w:rsidRPr="004001BC" w:rsidRDefault="00BD1B50" w:rsidP="000A3A4A">
      <w:pPr>
        <w:overflowPunct/>
        <w:autoSpaceDE/>
        <w:autoSpaceDN/>
        <w:adjustRightInd/>
        <w:spacing w:line="360" w:lineRule="auto"/>
        <w:ind w:right="426"/>
        <w:contextualSpacing/>
        <w:textAlignment w:val="auto"/>
        <w:rPr>
          <w:rFonts w:ascii="Arial" w:hAnsi="Arial" w:cs="David"/>
          <w:sz w:val="24"/>
          <w:szCs w:val="24"/>
        </w:rPr>
      </w:pPr>
      <w:r w:rsidRPr="004001BC">
        <w:rPr>
          <w:rFonts w:ascii="Arial" w:hAnsi="Arial" w:cs="David" w:hint="cs"/>
          <w:sz w:val="24"/>
          <w:szCs w:val="24"/>
          <w:rtl/>
        </w:rPr>
        <w:t xml:space="preserve">סגל, ד' ושלומי, ד' (1998). </w:t>
      </w:r>
      <w:r w:rsidRPr="004001BC">
        <w:rPr>
          <w:rFonts w:ascii="Arial" w:hAnsi="Arial" w:cs="David" w:hint="cs"/>
          <w:b w:val="0"/>
          <w:bCs/>
          <w:sz w:val="24"/>
          <w:szCs w:val="24"/>
          <w:rtl/>
        </w:rPr>
        <w:t xml:space="preserve">דיסקלקוליה- היבטים נוירופסיכולוגיים </w:t>
      </w:r>
      <w:proofErr w:type="spellStart"/>
      <w:r w:rsidRPr="004001BC">
        <w:rPr>
          <w:rFonts w:ascii="Arial" w:hAnsi="Arial" w:cs="David" w:hint="cs"/>
          <w:b w:val="0"/>
          <w:bCs/>
          <w:sz w:val="24"/>
          <w:szCs w:val="24"/>
          <w:rtl/>
        </w:rPr>
        <w:t>וקוגנטיביים</w:t>
      </w:r>
      <w:proofErr w:type="spellEnd"/>
      <w:r w:rsidRPr="004001BC">
        <w:rPr>
          <w:rFonts w:ascii="Arial" w:hAnsi="Arial" w:cs="David" w:hint="cs"/>
          <w:b w:val="0"/>
          <w:bCs/>
          <w:sz w:val="24"/>
          <w:szCs w:val="24"/>
          <w:rtl/>
        </w:rPr>
        <w:t xml:space="preserve"> והקשרם לקריאה-כתיבה.  </w:t>
      </w:r>
      <w:r w:rsidRPr="004001BC">
        <w:rPr>
          <w:rFonts w:ascii="Arial" w:hAnsi="Arial" w:cs="David" w:hint="cs"/>
          <w:sz w:val="24"/>
          <w:szCs w:val="24"/>
          <w:rtl/>
        </w:rPr>
        <w:t>תל-אביב: ניצן.</w:t>
      </w:r>
    </w:p>
    <w:p w:rsidR="00BD1B50" w:rsidRPr="00D90B4B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</w:rPr>
      </w:pPr>
      <w:proofErr w:type="spellStart"/>
      <w:r w:rsidRPr="00D90B4B">
        <w:rPr>
          <w:rFonts w:ascii="Arial" w:hAnsi="Arial" w:cs="David" w:hint="cs"/>
          <w:sz w:val="24"/>
          <w:szCs w:val="24"/>
          <w:rtl/>
        </w:rPr>
        <w:t>קופרמן</w:t>
      </w:r>
      <w:proofErr w:type="spellEnd"/>
      <w:r w:rsidRPr="00D90B4B">
        <w:rPr>
          <w:rFonts w:ascii="Arial" w:hAnsi="Arial" w:cs="David" w:hint="cs"/>
          <w:sz w:val="24"/>
          <w:szCs w:val="24"/>
          <w:rtl/>
        </w:rPr>
        <w:t xml:space="preserve">, ר' (2011). </w:t>
      </w:r>
      <w:r w:rsidRPr="00D90B4B">
        <w:rPr>
          <w:rFonts w:ascii="Arial" w:hAnsi="Arial" w:cs="David" w:hint="cs"/>
          <w:b w:val="0"/>
          <w:bCs/>
          <w:sz w:val="24"/>
          <w:szCs w:val="24"/>
          <w:rtl/>
        </w:rPr>
        <w:t>מתמטיקה של בית ספר יסודי – לגלות מחדש, להבין, ללמוד ולאהוב, חלק א'.</w:t>
      </w:r>
      <w:r w:rsidRPr="00D90B4B">
        <w:rPr>
          <w:rFonts w:ascii="Arial" w:hAnsi="Arial" w:cs="David" w:hint="cs"/>
          <w:sz w:val="24"/>
          <w:szCs w:val="24"/>
          <w:rtl/>
        </w:rPr>
        <w:t xml:space="preserve"> הוצאת </w:t>
      </w:r>
      <w:proofErr w:type="spellStart"/>
      <w:r w:rsidRPr="00D90B4B">
        <w:rPr>
          <w:rFonts w:ascii="Arial" w:hAnsi="Arial" w:cs="David" w:hint="cs"/>
          <w:sz w:val="24"/>
          <w:szCs w:val="24"/>
          <w:rtl/>
        </w:rPr>
        <w:t>חשיב</w:t>
      </w:r>
      <w:proofErr w:type="spellEnd"/>
      <w:r w:rsidRPr="00D90B4B"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BD1B50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</w:rPr>
      </w:pPr>
      <w:proofErr w:type="spellStart"/>
      <w:r>
        <w:rPr>
          <w:rFonts w:ascii="Arial" w:hAnsi="Arial" w:cs="David" w:hint="cs"/>
          <w:sz w:val="24"/>
          <w:szCs w:val="24"/>
          <w:rtl/>
        </w:rPr>
        <w:t>קלייטון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, פ' (1999). שפה, </w:t>
      </w:r>
      <w:proofErr w:type="spellStart"/>
      <w:r>
        <w:rPr>
          <w:rFonts w:ascii="Arial" w:hAnsi="Arial" w:cs="David" w:hint="cs"/>
          <w:sz w:val="24"/>
          <w:szCs w:val="24"/>
          <w:rtl/>
        </w:rPr>
        <w:t>דיסלקסיה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ומתמטיקה, </w:t>
      </w:r>
      <w:r>
        <w:rPr>
          <w:rFonts w:ascii="Arial" w:hAnsi="Arial" w:cs="David" w:hint="cs"/>
          <w:b w:val="0"/>
          <w:bCs/>
          <w:sz w:val="24"/>
          <w:szCs w:val="24"/>
          <w:rtl/>
        </w:rPr>
        <w:t>פרספקטיבה, 13</w:t>
      </w:r>
      <w:r>
        <w:rPr>
          <w:rFonts w:ascii="Arial" w:hAnsi="Arial" w:cs="David" w:hint="cs"/>
          <w:sz w:val="24"/>
          <w:szCs w:val="24"/>
          <w:rtl/>
        </w:rPr>
        <w:t>, 60-59.</w:t>
      </w:r>
    </w:p>
    <w:p w:rsidR="00BD1B50" w:rsidRPr="00D90B4B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</w:rPr>
      </w:pPr>
      <w:r w:rsidRPr="00D90B4B">
        <w:rPr>
          <w:rFonts w:cs="David" w:hint="cs"/>
          <w:sz w:val="24"/>
          <w:szCs w:val="24"/>
          <w:rtl/>
        </w:rPr>
        <w:t xml:space="preserve">רייז, ר' (2006). מתרגול אלגוריתמי להוראה הדורשת הבנה באמצעות "היפוך" שאלה. </w:t>
      </w:r>
      <w:proofErr w:type="spellStart"/>
      <w:r w:rsidRPr="00D90B4B">
        <w:rPr>
          <w:rFonts w:cs="David" w:hint="cs"/>
          <w:b w:val="0"/>
          <w:bCs/>
          <w:sz w:val="24"/>
          <w:szCs w:val="24"/>
          <w:rtl/>
        </w:rPr>
        <w:t>על"ה</w:t>
      </w:r>
      <w:proofErr w:type="spellEnd"/>
      <w:r w:rsidRPr="00D90B4B">
        <w:rPr>
          <w:rFonts w:cs="David" w:hint="cs"/>
          <w:b w:val="0"/>
          <w:bCs/>
          <w:sz w:val="24"/>
          <w:szCs w:val="24"/>
          <w:rtl/>
        </w:rPr>
        <w:t>, 36</w:t>
      </w:r>
      <w:r w:rsidRPr="00D90B4B">
        <w:rPr>
          <w:rFonts w:cs="David" w:hint="cs"/>
          <w:i/>
          <w:iCs/>
          <w:sz w:val="24"/>
          <w:szCs w:val="24"/>
          <w:rtl/>
        </w:rPr>
        <w:t xml:space="preserve">, </w:t>
      </w:r>
      <w:r w:rsidRPr="00D90B4B">
        <w:rPr>
          <w:rFonts w:cs="David" w:hint="cs"/>
          <w:sz w:val="24"/>
          <w:szCs w:val="24"/>
          <w:rtl/>
        </w:rPr>
        <w:t>22-32.</w:t>
      </w:r>
    </w:p>
    <w:p w:rsidR="00BD1B50" w:rsidRPr="00D90B4B" w:rsidRDefault="00BD1B50" w:rsidP="000A3A4A">
      <w:pPr>
        <w:overflowPunct/>
        <w:autoSpaceDE/>
        <w:autoSpaceDN/>
        <w:adjustRightInd/>
        <w:spacing w:line="360" w:lineRule="auto"/>
        <w:ind w:right="720"/>
        <w:contextualSpacing/>
        <w:textAlignment w:val="auto"/>
        <w:rPr>
          <w:rFonts w:ascii="Arial" w:hAnsi="Arial" w:cs="David"/>
          <w:sz w:val="24"/>
          <w:szCs w:val="24"/>
        </w:rPr>
      </w:pPr>
      <w:r w:rsidRPr="00D90B4B">
        <w:rPr>
          <w:rFonts w:ascii="Arial" w:hAnsi="Arial" w:cs="David" w:hint="cs"/>
          <w:sz w:val="24"/>
          <w:szCs w:val="24"/>
          <w:rtl/>
        </w:rPr>
        <w:t xml:space="preserve">שטיינברג, ר' (2002). פתרון בעיות מילוליות בגן. </w:t>
      </w:r>
      <w:r w:rsidRPr="00D90B4B">
        <w:rPr>
          <w:rStyle w:val="a5"/>
          <w:rFonts w:ascii="Arial" w:hAnsi="Arial" w:cs="David" w:hint="cs"/>
          <w:b w:val="0"/>
          <w:bCs/>
          <w:i w:val="0"/>
          <w:iCs w:val="0"/>
          <w:sz w:val="24"/>
          <w:szCs w:val="24"/>
          <w:rtl/>
        </w:rPr>
        <w:t>הד הגן</w:t>
      </w:r>
      <w:r w:rsidRPr="00D90B4B">
        <w:rPr>
          <w:rFonts w:ascii="Arial" w:hAnsi="Arial" w:cs="David" w:hint="cs"/>
          <w:i/>
          <w:iCs/>
          <w:sz w:val="24"/>
          <w:szCs w:val="24"/>
          <w:rtl/>
        </w:rPr>
        <w:t xml:space="preserve">, </w:t>
      </w:r>
      <w:r w:rsidRPr="00D90B4B">
        <w:rPr>
          <w:rStyle w:val="a5"/>
          <w:rFonts w:ascii="Arial" w:hAnsi="Arial" w:cs="David" w:hint="cs"/>
          <w:b w:val="0"/>
          <w:bCs/>
          <w:i w:val="0"/>
          <w:iCs w:val="0"/>
          <w:sz w:val="24"/>
          <w:szCs w:val="24"/>
          <w:rtl/>
        </w:rPr>
        <w:t>67</w:t>
      </w:r>
      <w:r w:rsidRPr="00D90B4B">
        <w:rPr>
          <w:rFonts w:ascii="Arial" w:hAnsi="Arial" w:cs="David" w:hint="cs"/>
          <w:i/>
          <w:iCs/>
          <w:sz w:val="24"/>
          <w:szCs w:val="24"/>
          <w:rtl/>
        </w:rPr>
        <w:t xml:space="preserve"> </w:t>
      </w:r>
      <w:r w:rsidRPr="00D90B4B">
        <w:rPr>
          <w:rFonts w:ascii="Arial" w:hAnsi="Arial" w:cs="David" w:hint="cs"/>
          <w:sz w:val="24"/>
          <w:szCs w:val="24"/>
          <w:rtl/>
        </w:rPr>
        <w:t>(1), 33-22.</w:t>
      </w:r>
    </w:p>
    <w:p w:rsidR="00BD1B50" w:rsidRDefault="00BD1B50" w:rsidP="000A3A4A">
      <w:pPr>
        <w:spacing w:line="360" w:lineRule="auto"/>
        <w:ind w:left="423" w:right="426"/>
        <w:contextualSpacing/>
        <w:rPr>
          <w:rFonts w:ascii="Arial" w:hAnsi="Arial" w:cs="David"/>
          <w:sz w:val="24"/>
          <w:szCs w:val="24"/>
        </w:rPr>
      </w:pPr>
    </w:p>
    <w:p w:rsidR="00BD1B50" w:rsidRPr="00B95CA4" w:rsidRDefault="00BD1B50" w:rsidP="000A3A4A">
      <w:pPr>
        <w:overflowPunct/>
        <w:autoSpaceDE/>
        <w:autoSpaceDN/>
        <w:bidi w:val="0"/>
        <w:adjustRightInd/>
        <w:spacing w:line="360" w:lineRule="auto"/>
        <w:ind w:left="710" w:right="720"/>
        <w:textAlignment w:val="auto"/>
        <w:rPr>
          <w:b w:val="0"/>
          <w:bCs/>
          <w:sz w:val="24"/>
        </w:rPr>
      </w:pPr>
      <w:r w:rsidRPr="00B95CA4">
        <w:rPr>
          <w:b w:val="0"/>
          <w:bCs/>
          <w:sz w:val="24"/>
        </w:rPr>
        <w:t xml:space="preserve">Butterworth, B. (2005). The development of arithmetical abilities. </w:t>
      </w:r>
      <w:r w:rsidRPr="00B95CA4">
        <w:rPr>
          <w:b w:val="0"/>
          <w:bCs/>
          <w:i/>
          <w:iCs/>
          <w:sz w:val="24"/>
        </w:rPr>
        <w:t>Journal of Child and Psychiatry, 46</w:t>
      </w:r>
      <w:r w:rsidRPr="00B95CA4">
        <w:rPr>
          <w:b w:val="0"/>
          <w:bCs/>
          <w:sz w:val="24"/>
        </w:rPr>
        <w:t xml:space="preserve"> (1), 3-18.</w:t>
      </w:r>
    </w:p>
    <w:p w:rsidR="00BD1B50" w:rsidRPr="00B95CA4" w:rsidRDefault="00BD1B50" w:rsidP="000A3A4A">
      <w:pPr>
        <w:pStyle w:val="a3"/>
        <w:rPr>
          <w:b w:val="0"/>
          <w:bCs/>
          <w:sz w:val="24"/>
        </w:rPr>
      </w:pPr>
    </w:p>
    <w:p w:rsidR="00BD1B50" w:rsidRPr="00B95CA4" w:rsidRDefault="00BD1B50" w:rsidP="000A3A4A">
      <w:pPr>
        <w:overflowPunct/>
        <w:autoSpaceDE/>
        <w:autoSpaceDN/>
        <w:bidi w:val="0"/>
        <w:adjustRightInd/>
        <w:spacing w:line="360" w:lineRule="auto"/>
        <w:ind w:left="710" w:right="720"/>
        <w:textAlignment w:val="auto"/>
        <w:rPr>
          <w:b w:val="0"/>
          <w:bCs/>
          <w:sz w:val="24"/>
        </w:rPr>
      </w:pPr>
      <w:r w:rsidRPr="00B95CA4">
        <w:rPr>
          <w:b w:val="0"/>
          <w:bCs/>
          <w:sz w:val="24"/>
        </w:rPr>
        <w:t xml:space="preserve"> Clements, D. H. (2001). Mathematics in the preschool. </w:t>
      </w:r>
      <w:r w:rsidRPr="00B95CA4">
        <w:rPr>
          <w:b w:val="0"/>
          <w:bCs/>
          <w:i/>
          <w:iCs/>
          <w:sz w:val="24"/>
        </w:rPr>
        <w:t xml:space="preserve">Teaching Children Mathematics, 7 </w:t>
      </w:r>
      <w:r w:rsidRPr="00B95CA4">
        <w:rPr>
          <w:b w:val="0"/>
          <w:bCs/>
          <w:sz w:val="24"/>
        </w:rPr>
        <w:t>(5), 275-270.</w:t>
      </w:r>
    </w:p>
    <w:p w:rsidR="00BD1B50" w:rsidRPr="00B95CA4" w:rsidRDefault="00BD1B50" w:rsidP="000A3A4A">
      <w:pPr>
        <w:overflowPunct/>
        <w:autoSpaceDE/>
        <w:autoSpaceDN/>
        <w:bidi w:val="0"/>
        <w:adjustRightInd/>
        <w:spacing w:line="360" w:lineRule="auto"/>
        <w:ind w:left="710" w:right="720"/>
        <w:textAlignment w:val="auto"/>
        <w:rPr>
          <w:b w:val="0"/>
          <w:bCs/>
          <w:sz w:val="24"/>
          <w:rtl/>
        </w:rPr>
      </w:pPr>
      <w:proofErr w:type="spellStart"/>
      <w:r w:rsidRPr="00B95CA4">
        <w:rPr>
          <w:b w:val="0"/>
          <w:bCs/>
          <w:sz w:val="24"/>
        </w:rPr>
        <w:t>Losq</w:t>
      </w:r>
      <w:proofErr w:type="spellEnd"/>
      <w:r w:rsidRPr="00B95CA4">
        <w:rPr>
          <w:b w:val="0"/>
          <w:bCs/>
          <w:sz w:val="24"/>
        </w:rPr>
        <w:t xml:space="preserve">, C. S. (2005). Number concepts and special needs students: The power of ten-frame tiles. </w:t>
      </w:r>
      <w:r w:rsidRPr="00B95CA4">
        <w:rPr>
          <w:rStyle w:val="a5"/>
          <w:b w:val="0"/>
          <w:bCs/>
          <w:sz w:val="24"/>
        </w:rPr>
        <w:t>Teaching Children Mathematics</w:t>
      </w:r>
      <w:r w:rsidRPr="00B95CA4">
        <w:rPr>
          <w:b w:val="0"/>
          <w:bCs/>
          <w:sz w:val="24"/>
        </w:rPr>
        <w:t xml:space="preserve">, </w:t>
      </w:r>
      <w:r w:rsidRPr="00B95CA4">
        <w:rPr>
          <w:rStyle w:val="a5"/>
          <w:b w:val="0"/>
          <w:bCs/>
          <w:sz w:val="24"/>
        </w:rPr>
        <w:t>11</w:t>
      </w:r>
      <w:r w:rsidRPr="00B95CA4">
        <w:rPr>
          <w:b w:val="0"/>
          <w:bCs/>
          <w:sz w:val="24"/>
        </w:rPr>
        <w:t xml:space="preserve"> (6), 315-310.</w:t>
      </w:r>
    </w:p>
    <w:p w:rsidR="002E44B8" w:rsidRPr="00B95CA4" w:rsidRDefault="002E44B8" w:rsidP="002E44B8">
      <w:pPr>
        <w:spacing w:line="360" w:lineRule="auto"/>
        <w:ind w:left="4"/>
        <w:rPr>
          <w:rFonts w:cs="David" w:hint="cs"/>
          <w:b w:val="0"/>
          <w:bCs/>
          <w:sz w:val="24"/>
          <w:szCs w:val="24"/>
          <w:rtl/>
        </w:rPr>
      </w:pPr>
      <w:bookmarkStart w:id="1" w:name="_GoBack"/>
      <w:bookmarkEnd w:id="1"/>
    </w:p>
    <w:p w:rsidR="00BD1B50" w:rsidRPr="00F73CE8" w:rsidRDefault="00BD1B50" w:rsidP="002E44B8">
      <w:pPr>
        <w:spacing w:line="360" w:lineRule="auto"/>
        <w:ind w:left="4"/>
        <w:rPr>
          <w:rFonts w:cs="David"/>
          <w:sz w:val="24"/>
          <w:szCs w:val="24"/>
          <w:rtl/>
        </w:rPr>
      </w:pPr>
    </w:p>
    <w:p w:rsidR="002E44B8" w:rsidRPr="00F73CE8" w:rsidRDefault="002E44B8" w:rsidP="002E44B8">
      <w:pPr>
        <w:spacing w:line="360" w:lineRule="auto"/>
        <w:rPr>
          <w:rFonts w:cs="David"/>
          <w:b w:val="0"/>
          <w:bCs/>
          <w:sz w:val="24"/>
          <w:szCs w:val="24"/>
          <w:rtl/>
        </w:rPr>
      </w:pPr>
    </w:p>
    <w:p w:rsidR="002E44B8" w:rsidRPr="005907AE" w:rsidRDefault="002E44B8" w:rsidP="002E44B8">
      <w:pPr>
        <w:spacing w:line="360" w:lineRule="auto"/>
        <w:rPr>
          <w:rFonts w:cs="David"/>
          <w:b w:val="0"/>
          <w:bCs/>
          <w:sz w:val="24"/>
          <w:szCs w:val="24"/>
          <w:rtl/>
        </w:rPr>
      </w:pPr>
    </w:p>
    <w:p w:rsidR="002E44B8" w:rsidRPr="005907AE" w:rsidRDefault="002E44B8" w:rsidP="002E44B8">
      <w:pPr>
        <w:spacing w:line="360" w:lineRule="auto"/>
        <w:ind w:left="4"/>
        <w:rPr>
          <w:rFonts w:cs="David"/>
          <w:sz w:val="24"/>
          <w:szCs w:val="24"/>
          <w:rtl/>
        </w:rPr>
      </w:pPr>
    </w:p>
    <w:p w:rsidR="002E44B8" w:rsidRDefault="002E44B8" w:rsidP="002E44B8">
      <w:pPr>
        <w:pStyle w:val="a3"/>
        <w:spacing w:line="360" w:lineRule="auto"/>
        <w:ind w:left="364"/>
        <w:rPr>
          <w:rFonts w:cs="David"/>
          <w:sz w:val="24"/>
          <w:szCs w:val="24"/>
        </w:rPr>
      </w:pPr>
    </w:p>
    <w:p w:rsidR="00467016" w:rsidRPr="00EB3971" w:rsidRDefault="00467016" w:rsidP="002E44B8">
      <w:pPr>
        <w:spacing w:line="360" w:lineRule="auto"/>
        <w:ind w:left="4"/>
        <w:rPr>
          <w:rFonts w:cs="David"/>
          <w:sz w:val="24"/>
          <w:szCs w:val="24"/>
          <w:u w:val="single"/>
          <w:rtl/>
        </w:rPr>
      </w:pPr>
    </w:p>
    <w:p w:rsidR="003F3BEB" w:rsidRPr="00F73CE8" w:rsidRDefault="003F3BEB" w:rsidP="002E44B8">
      <w:pPr>
        <w:spacing w:line="360" w:lineRule="auto"/>
        <w:ind w:left="4"/>
        <w:rPr>
          <w:rFonts w:cs="David"/>
          <w:sz w:val="24"/>
          <w:szCs w:val="24"/>
          <w:rtl/>
        </w:rPr>
      </w:pPr>
    </w:p>
    <w:p w:rsidR="002E44B8" w:rsidRPr="005907AE" w:rsidRDefault="002E44B8" w:rsidP="002E44B8">
      <w:pPr>
        <w:spacing w:line="360" w:lineRule="auto"/>
        <w:ind w:left="4"/>
        <w:rPr>
          <w:rFonts w:cs="David"/>
          <w:sz w:val="24"/>
          <w:szCs w:val="24"/>
          <w:rtl/>
        </w:rPr>
      </w:pPr>
    </w:p>
    <w:p w:rsidR="003B36B6" w:rsidRPr="000F5E07" w:rsidRDefault="003B36B6"/>
    <w:sectPr w:rsidR="003B36B6" w:rsidRPr="000F5E07" w:rsidSect="001330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910"/>
    <w:multiLevelType w:val="hybridMultilevel"/>
    <w:tmpl w:val="FC08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3FAB"/>
    <w:multiLevelType w:val="hybridMultilevel"/>
    <w:tmpl w:val="7FFC58B0"/>
    <w:lvl w:ilvl="0" w:tplc="227C457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2B7150EB"/>
    <w:multiLevelType w:val="hybridMultilevel"/>
    <w:tmpl w:val="E098C80A"/>
    <w:lvl w:ilvl="0" w:tplc="CDCC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77A9E"/>
    <w:multiLevelType w:val="hybridMultilevel"/>
    <w:tmpl w:val="E12874F6"/>
    <w:lvl w:ilvl="0" w:tplc="674E9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267D"/>
    <w:multiLevelType w:val="hybridMultilevel"/>
    <w:tmpl w:val="7F40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0F3C"/>
    <w:multiLevelType w:val="hybridMultilevel"/>
    <w:tmpl w:val="2256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1632"/>
    <w:multiLevelType w:val="hybridMultilevel"/>
    <w:tmpl w:val="89B20780"/>
    <w:lvl w:ilvl="0" w:tplc="03120B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4EAB4BED"/>
    <w:multiLevelType w:val="hybridMultilevel"/>
    <w:tmpl w:val="CAE431A8"/>
    <w:lvl w:ilvl="0" w:tplc="77AC8224">
      <w:start w:val="1"/>
      <w:numFmt w:val="decimal"/>
      <w:lvlText w:val="%1."/>
      <w:lvlJc w:val="left"/>
      <w:pPr>
        <w:ind w:left="1088" w:hanging="360"/>
      </w:pPr>
      <w:rPr>
        <w:rFonts w:ascii="Times New Roman" w:eastAsia="Times New Roman" w:hAnsi="Times New Roman" w:cs="David"/>
      </w:rPr>
    </w:lvl>
    <w:lvl w:ilvl="1" w:tplc="04090019">
      <w:start w:val="1"/>
      <w:numFmt w:val="lowerLetter"/>
      <w:lvlText w:val="%2."/>
      <w:lvlJc w:val="left"/>
      <w:pPr>
        <w:ind w:left="1808" w:hanging="360"/>
      </w:pPr>
    </w:lvl>
    <w:lvl w:ilvl="2" w:tplc="0409001B">
      <w:start w:val="1"/>
      <w:numFmt w:val="lowerRoman"/>
      <w:lvlText w:val="%3."/>
      <w:lvlJc w:val="right"/>
      <w:pPr>
        <w:ind w:left="2528" w:hanging="180"/>
      </w:pPr>
    </w:lvl>
    <w:lvl w:ilvl="3" w:tplc="0409000F">
      <w:start w:val="1"/>
      <w:numFmt w:val="decimal"/>
      <w:lvlText w:val="%4."/>
      <w:lvlJc w:val="left"/>
      <w:pPr>
        <w:ind w:left="3248" w:hanging="360"/>
      </w:pPr>
    </w:lvl>
    <w:lvl w:ilvl="4" w:tplc="04090019">
      <w:start w:val="1"/>
      <w:numFmt w:val="lowerLetter"/>
      <w:lvlText w:val="%5."/>
      <w:lvlJc w:val="left"/>
      <w:pPr>
        <w:ind w:left="3968" w:hanging="360"/>
      </w:pPr>
    </w:lvl>
    <w:lvl w:ilvl="5" w:tplc="0409001B">
      <w:start w:val="1"/>
      <w:numFmt w:val="lowerRoman"/>
      <w:lvlText w:val="%6."/>
      <w:lvlJc w:val="right"/>
      <w:pPr>
        <w:ind w:left="4688" w:hanging="180"/>
      </w:pPr>
    </w:lvl>
    <w:lvl w:ilvl="6" w:tplc="0409000F">
      <w:start w:val="1"/>
      <w:numFmt w:val="decimal"/>
      <w:lvlText w:val="%7."/>
      <w:lvlJc w:val="left"/>
      <w:pPr>
        <w:ind w:left="5408" w:hanging="360"/>
      </w:pPr>
    </w:lvl>
    <w:lvl w:ilvl="7" w:tplc="04090019">
      <w:start w:val="1"/>
      <w:numFmt w:val="lowerLetter"/>
      <w:lvlText w:val="%8."/>
      <w:lvlJc w:val="left"/>
      <w:pPr>
        <w:ind w:left="6128" w:hanging="360"/>
      </w:pPr>
    </w:lvl>
    <w:lvl w:ilvl="8" w:tplc="0409001B">
      <w:start w:val="1"/>
      <w:numFmt w:val="lowerRoman"/>
      <w:lvlText w:val="%9."/>
      <w:lvlJc w:val="right"/>
      <w:pPr>
        <w:ind w:left="6848" w:hanging="180"/>
      </w:pPr>
    </w:lvl>
  </w:abstractNum>
  <w:abstractNum w:abstractNumId="8" w15:restartNumberingAfterBreak="0">
    <w:nsid w:val="52BE1496"/>
    <w:multiLevelType w:val="hybridMultilevel"/>
    <w:tmpl w:val="14FC5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C32E5"/>
    <w:multiLevelType w:val="hybridMultilevel"/>
    <w:tmpl w:val="8252F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B447F"/>
    <w:multiLevelType w:val="hybridMultilevel"/>
    <w:tmpl w:val="02AA7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B575B"/>
    <w:multiLevelType w:val="hybridMultilevel"/>
    <w:tmpl w:val="2E04B248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C5379"/>
    <w:multiLevelType w:val="hybridMultilevel"/>
    <w:tmpl w:val="EE920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8336F"/>
    <w:multiLevelType w:val="hybridMultilevel"/>
    <w:tmpl w:val="66D8045E"/>
    <w:lvl w:ilvl="0" w:tplc="674E918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63DA626C"/>
    <w:multiLevelType w:val="hybridMultilevel"/>
    <w:tmpl w:val="3252CB60"/>
    <w:lvl w:ilvl="0" w:tplc="674E9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34C1"/>
    <w:multiLevelType w:val="hybridMultilevel"/>
    <w:tmpl w:val="D9C25FAE"/>
    <w:lvl w:ilvl="0" w:tplc="F766A8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6BB82E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987157"/>
    <w:multiLevelType w:val="hybridMultilevel"/>
    <w:tmpl w:val="E12874F6"/>
    <w:lvl w:ilvl="0" w:tplc="674E9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D5434"/>
    <w:multiLevelType w:val="hybridMultilevel"/>
    <w:tmpl w:val="1F10313A"/>
    <w:lvl w:ilvl="0" w:tplc="674E9186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79CA0FB4"/>
    <w:multiLevelType w:val="hybridMultilevel"/>
    <w:tmpl w:val="5BA67926"/>
    <w:lvl w:ilvl="0" w:tplc="90FA68E4">
      <w:start w:val="1"/>
      <w:numFmt w:val="bullet"/>
      <w:lvlText w:val=""/>
      <w:lvlJc w:val="left"/>
      <w:pPr>
        <w:ind w:left="364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 w15:restartNumberingAfterBreak="0">
    <w:nsid w:val="7F261AB3"/>
    <w:multiLevelType w:val="hybridMultilevel"/>
    <w:tmpl w:val="0358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4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7"/>
  </w:num>
  <w:num w:numId="13">
    <w:abstractNumId w:val="3"/>
  </w:num>
  <w:num w:numId="14">
    <w:abstractNumId w:val="2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B8"/>
    <w:rsid w:val="0001399C"/>
    <w:rsid w:val="00050060"/>
    <w:rsid w:val="00056669"/>
    <w:rsid w:val="0008098B"/>
    <w:rsid w:val="000A1E57"/>
    <w:rsid w:val="000A3A4A"/>
    <w:rsid w:val="000F5E07"/>
    <w:rsid w:val="00140F10"/>
    <w:rsid w:val="001458A5"/>
    <w:rsid w:val="00192701"/>
    <w:rsid w:val="001A36EC"/>
    <w:rsid w:val="001C1987"/>
    <w:rsid w:val="001D0C2C"/>
    <w:rsid w:val="00203E2D"/>
    <w:rsid w:val="0027002D"/>
    <w:rsid w:val="002B13E2"/>
    <w:rsid w:val="002E44B8"/>
    <w:rsid w:val="003159CA"/>
    <w:rsid w:val="0035152D"/>
    <w:rsid w:val="00361B99"/>
    <w:rsid w:val="00364913"/>
    <w:rsid w:val="003773E3"/>
    <w:rsid w:val="003B36B6"/>
    <w:rsid w:val="003F3BEB"/>
    <w:rsid w:val="00423BFD"/>
    <w:rsid w:val="00442C2D"/>
    <w:rsid w:val="00452C8A"/>
    <w:rsid w:val="00467016"/>
    <w:rsid w:val="004759AF"/>
    <w:rsid w:val="004917A7"/>
    <w:rsid w:val="004C087E"/>
    <w:rsid w:val="004C5B15"/>
    <w:rsid w:val="004D42C4"/>
    <w:rsid w:val="00511DA6"/>
    <w:rsid w:val="005150B2"/>
    <w:rsid w:val="00536082"/>
    <w:rsid w:val="006315CD"/>
    <w:rsid w:val="00647B52"/>
    <w:rsid w:val="00674832"/>
    <w:rsid w:val="006B376E"/>
    <w:rsid w:val="006C2B1D"/>
    <w:rsid w:val="00725D83"/>
    <w:rsid w:val="00761F22"/>
    <w:rsid w:val="00762ED8"/>
    <w:rsid w:val="007C79A4"/>
    <w:rsid w:val="007D23B8"/>
    <w:rsid w:val="007F3518"/>
    <w:rsid w:val="0081086D"/>
    <w:rsid w:val="008B2E25"/>
    <w:rsid w:val="008D241B"/>
    <w:rsid w:val="00904BF4"/>
    <w:rsid w:val="00932072"/>
    <w:rsid w:val="009D1ED7"/>
    <w:rsid w:val="00A20D37"/>
    <w:rsid w:val="00A759AF"/>
    <w:rsid w:val="00A76DD7"/>
    <w:rsid w:val="00A80B08"/>
    <w:rsid w:val="00AC65E2"/>
    <w:rsid w:val="00AF500B"/>
    <w:rsid w:val="00B00A52"/>
    <w:rsid w:val="00B37C2A"/>
    <w:rsid w:val="00B462A1"/>
    <w:rsid w:val="00B6707D"/>
    <w:rsid w:val="00B95CA4"/>
    <w:rsid w:val="00BD1B50"/>
    <w:rsid w:val="00C17725"/>
    <w:rsid w:val="00C4698A"/>
    <w:rsid w:val="00C503D2"/>
    <w:rsid w:val="00CB0973"/>
    <w:rsid w:val="00CB101D"/>
    <w:rsid w:val="00CF3DC4"/>
    <w:rsid w:val="00D12560"/>
    <w:rsid w:val="00E07F41"/>
    <w:rsid w:val="00E4790F"/>
    <w:rsid w:val="00E50B78"/>
    <w:rsid w:val="00E54629"/>
    <w:rsid w:val="00E75D6C"/>
    <w:rsid w:val="00EB3971"/>
    <w:rsid w:val="00F06080"/>
    <w:rsid w:val="00F73CE8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A3284-99E1-4F51-85C9-FCC923E2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B8"/>
    <w:pPr>
      <w:overflowPunct w:val="0"/>
      <w:autoSpaceDE w:val="0"/>
      <w:autoSpaceDN w:val="0"/>
      <w:bidi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Arial"/>
      <w:b/>
      <w:sz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B8"/>
    <w:pPr>
      <w:ind w:left="720"/>
      <w:contextualSpacing/>
    </w:pPr>
  </w:style>
  <w:style w:type="table" w:styleId="a4">
    <w:name w:val="Table Grid"/>
    <w:basedOn w:val="a1"/>
    <w:uiPriority w:val="59"/>
    <w:rsid w:val="002E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רגיל1"/>
    <w:rsid w:val="00E75D6C"/>
    <w:pPr>
      <w:bidi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a0"/>
    <w:uiPriority w:val="99"/>
    <w:unhideWhenUsed/>
    <w:rsid w:val="00B37C2A"/>
    <w:rPr>
      <w:color w:val="0000FF" w:themeColor="hyperlink"/>
      <w:u w:val="single"/>
    </w:rPr>
  </w:style>
  <w:style w:type="character" w:styleId="a5">
    <w:name w:val="Emphasis"/>
    <w:uiPriority w:val="20"/>
    <w:qFormat/>
    <w:rsid w:val="00BD1B50"/>
    <w:rPr>
      <w:i/>
      <w:iCs/>
    </w:rPr>
  </w:style>
  <w:style w:type="paragraph" w:customStyle="1" w:styleId="a6">
    <w:name w:val="ביב"/>
    <w:basedOn w:val="a"/>
    <w:uiPriority w:val="99"/>
    <w:qFormat/>
    <w:rsid w:val="00BD1B50"/>
    <w:pPr>
      <w:tabs>
        <w:tab w:val="left" w:pos="588"/>
      </w:tabs>
      <w:overflowPunct/>
      <w:autoSpaceDE/>
      <w:autoSpaceDN/>
      <w:adjustRightInd/>
      <w:spacing w:line="312" w:lineRule="auto"/>
      <w:ind w:left="1876" w:hanging="1890"/>
      <w:textAlignment w:val="auto"/>
    </w:pPr>
    <w:rPr>
      <w:rFonts w:cs="David"/>
      <w:b w:val="0"/>
      <w:noProof/>
      <w:sz w:val="22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61B9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rsid w:val="00D12560"/>
    <w:pPr>
      <w:tabs>
        <w:tab w:val="center" w:pos="4153"/>
        <w:tab w:val="right" w:pos="8306"/>
      </w:tabs>
      <w:overflowPunct/>
      <w:autoSpaceDE/>
      <w:autoSpaceDN/>
      <w:adjustRightInd/>
      <w:spacing w:line="240" w:lineRule="auto"/>
      <w:jc w:val="left"/>
      <w:textAlignment w:val="auto"/>
    </w:pPr>
    <w:rPr>
      <w:rFonts w:cs="Miriam"/>
      <w:b w:val="0"/>
      <w:szCs w:val="20"/>
      <w:lang w:eastAsia="en-US"/>
    </w:rPr>
  </w:style>
  <w:style w:type="character" w:customStyle="1" w:styleId="a8">
    <w:name w:val="כותרת עליונה תו"/>
    <w:basedOn w:val="a0"/>
    <w:link w:val="a7"/>
    <w:uiPriority w:val="99"/>
    <w:rsid w:val="00D12560"/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cms.education.gov.il/EducationCMS/Units/Tochniyot_Limudim/KdamYesodi/TochniyotLimudim/Math.htm?wbc_purpose=basic&amp;WBCMODE=presentationunpublish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://ymath.haifa.ac.il/images/stories/mispar_chazak_2000/issue19/mark-zigdon.pdf" TargetMode="External"/><Relationship Id="rId12" Type="http://schemas.openxmlformats.org/officeDocument/2006/relationships/hyperlink" Target="mailto:http://cms.education.gov.il/EducationCMS/Units/Mazkirut_Pedagogit/Matematika/ChativatBeinay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://www.bgu.ac.il/~henik/abstracts/2008-Neurocognitive-aspects-of-developmental-dyscalculia-hebrew.pdf" TargetMode="External"/><Relationship Id="rId11" Type="http://schemas.openxmlformats.org/officeDocument/2006/relationships/hyperlink" Target="mailto:http://cms.education.gov.il/EducationCMS/Units/Tochniyot_Limudim/Math_Yesodi/TzyuneiDerech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ttp://math-dynamic.snunit.k12.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tp://cms.education.gov.il/EducationCMS/Units/Tochniyot_Limudim/Math_Yesodi/PD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956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2020-08-11T12:46:00Z</cp:lastPrinted>
  <dcterms:created xsi:type="dcterms:W3CDTF">2020-05-09T17:50:00Z</dcterms:created>
  <dcterms:modified xsi:type="dcterms:W3CDTF">2020-08-11T12:56:00Z</dcterms:modified>
</cp:coreProperties>
</file>